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86EF8" w14:textId="77777777" w:rsidR="00FB0C2C" w:rsidRPr="00FB0C2C" w:rsidRDefault="00FB0C2C" w:rsidP="00FB0C2C">
      <w:pPr>
        <w:rPr>
          <w:rFonts w:asciiTheme="minorHAnsi" w:hAnsiTheme="minorHAnsi" w:cstheme="minorHAnsi"/>
          <w:b/>
          <w:bCs/>
        </w:rPr>
      </w:pPr>
      <w:r w:rsidRPr="00FB0C2C">
        <w:rPr>
          <w:rFonts w:asciiTheme="minorHAnsi" w:hAnsiTheme="minorHAnsi" w:cstheme="minorHAnsi"/>
          <w:b/>
          <w:bCs/>
        </w:rPr>
        <w:t> </w:t>
      </w:r>
    </w:p>
    <w:p w14:paraId="1E95E93A" w14:textId="77777777" w:rsidR="00FB0C2C" w:rsidRPr="00FB0C2C" w:rsidRDefault="00FB0C2C" w:rsidP="00FB0C2C">
      <w:pPr>
        <w:rPr>
          <w:rFonts w:asciiTheme="minorHAnsi" w:hAnsiTheme="minorHAnsi" w:cstheme="minorHAnsi"/>
          <w:b/>
          <w:bCs/>
        </w:rPr>
      </w:pPr>
      <w:r w:rsidRPr="00FB0C2C">
        <w:rPr>
          <w:rFonts w:asciiTheme="minorHAnsi" w:hAnsiTheme="minorHAnsi" w:cstheme="minorHAnsi"/>
          <w:b/>
          <w:bCs/>
        </w:rPr>
        <w:t> </w:t>
      </w:r>
    </w:p>
    <w:p w14:paraId="78211455" w14:textId="77777777" w:rsidR="00FB0C2C" w:rsidRPr="00FB0C2C" w:rsidRDefault="00FB0C2C" w:rsidP="00FB0C2C">
      <w:pPr>
        <w:rPr>
          <w:rFonts w:asciiTheme="minorHAnsi" w:hAnsiTheme="minorHAnsi" w:cstheme="minorHAnsi"/>
        </w:rPr>
      </w:pPr>
      <w:r w:rsidRPr="00FB0C2C">
        <w:rPr>
          <w:rFonts w:asciiTheme="minorHAnsi" w:hAnsiTheme="minorHAnsi" w:cstheme="minorHAnsi"/>
        </w:rPr>
        <w:t> </w:t>
      </w:r>
    </w:p>
    <w:p w14:paraId="60FC4135" w14:textId="77777777" w:rsidR="0018561E" w:rsidRPr="0018561E" w:rsidRDefault="0018561E" w:rsidP="00FB0C2C">
      <w:pPr>
        <w:rPr>
          <w:rFonts w:asciiTheme="minorHAnsi" w:hAnsiTheme="minorHAnsi" w:cstheme="minorHAnsi"/>
          <w:b/>
          <w:bCs/>
          <w:sz w:val="52"/>
          <w:szCs w:val="52"/>
        </w:rPr>
      </w:pPr>
    </w:p>
    <w:p w14:paraId="2815FEE9" w14:textId="041CD3F6" w:rsidR="00FB0C2C" w:rsidRPr="00FB0C2C" w:rsidRDefault="00FB0C2C" w:rsidP="00FB0C2C">
      <w:pPr>
        <w:rPr>
          <w:rFonts w:asciiTheme="minorHAnsi" w:hAnsiTheme="minorHAnsi" w:cstheme="minorHAnsi"/>
          <w:sz w:val="52"/>
          <w:szCs w:val="52"/>
        </w:rPr>
      </w:pPr>
      <w:r w:rsidRPr="00FB0C2C">
        <w:rPr>
          <w:rFonts w:asciiTheme="minorHAnsi" w:hAnsiTheme="minorHAnsi" w:cstheme="minorHAnsi"/>
          <w:b/>
          <w:bCs/>
          <w:sz w:val="52"/>
          <w:szCs w:val="52"/>
        </w:rPr>
        <w:t>Kwaliteitsjaarverslag Forensische Zorg 2025</w:t>
      </w:r>
      <w:r w:rsidRPr="00FB0C2C">
        <w:rPr>
          <w:rFonts w:asciiTheme="minorHAnsi" w:hAnsiTheme="minorHAnsi" w:cstheme="minorHAnsi"/>
          <w:sz w:val="52"/>
          <w:szCs w:val="52"/>
        </w:rPr>
        <w:t> </w:t>
      </w:r>
    </w:p>
    <w:p w14:paraId="6EE0F833" w14:textId="77777777" w:rsidR="00FB0C2C" w:rsidRPr="00FB0C2C" w:rsidRDefault="00FB0C2C" w:rsidP="00FB0C2C">
      <w:pPr>
        <w:rPr>
          <w:rFonts w:asciiTheme="minorHAnsi" w:hAnsiTheme="minorHAnsi" w:cstheme="minorHAnsi"/>
          <w:sz w:val="52"/>
          <w:szCs w:val="52"/>
        </w:rPr>
      </w:pPr>
      <w:r w:rsidRPr="00FB0C2C">
        <w:rPr>
          <w:rFonts w:asciiTheme="minorHAnsi" w:hAnsiTheme="minorHAnsi" w:cstheme="minorHAnsi"/>
          <w:sz w:val="52"/>
          <w:szCs w:val="52"/>
        </w:rPr>
        <w:t> </w:t>
      </w:r>
    </w:p>
    <w:p w14:paraId="479EA846" w14:textId="77777777" w:rsidR="00FB0C2C" w:rsidRPr="00FB0C2C" w:rsidRDefault="00FB0C2C" w:rsidP="00FB0C2C">
      <w:pPr>
        <w:rPr>
          <w:rFonts w:asciiTheme="minorHAnsi" w:hAnsiTheme="minorHAnsi" w:cstheme="minorHAnsi"/>
          <w:sz w:val="52"/>
          <w:szCs w:val="52"/>
        </w:rPr>
      </w:pPr>
      <w:r w:rsidRPr="00FB0C2C">
        <w:rPr>
          <w:rFonts w:asciiTheme="minorHAnsi" w:hAnsiTheme="minorHAnsi" w:cstheme="minorHAnsi"/>
          <w:sz w:val="52"/>
          <w:szCs w:val="52"/>
        </w:rPr>
        <w:t> </w:t>
      </w:r>
    </w:p>
    <w:p w14:paraId="2CAA6710" w14:textId="77777777" w:rsidR="00FB0C2C" w:rsidRPr="00FB0C2C" w:rsidRDefault="00FB0C2C" w:rsidP="00FB0C2C">
      <w:pPr>
        <w:rPr>
          <w:rFonts w:asciiTheme="minorHAnsi" w:hAnsiTheme="minorHAnsi" w:cstheme="minorHAnsi"/>
          <w:sz w:val="32"/>
          <w:szCs w:val="32"/>
        </w:rPr>
      </w:pPr>
      <w:r w:rsidRPr="00FB0C2C">
        <w:rPr>
          <w:rFonts w:asciiTheme="minorHAnsi" w:hAnsiTheme="minorHAnsi" w:cstheme="minorHAnsi"/>
          <w:b/>
          <w:bCs/>
          <w:sz w:val="32"/>
          <w:szCs w:val="32"/>
        </w:rPr>
        <w:t>De Hoop Groep</w:t>
      </w:r>
      <w:r w:rsidRPr="00FB0C2C">
        <w:rPr>
          <w:rFonts w:asciiTheme="minorHAnsi" w:hAnsiTheme="minorHAnsi" w:cstheme="minorHAnsi"/>
          <w:sz w:val="32"/>
          <w:szCs w:val="32"/>
        </w:rPr>
        <w:t> </w:t>
      </w:r>
    </w:p>
    <w:p w14:paraId="20409E4A" w14:textId="77777777" w:rsidR="00FB0C2C" w:rsidRPr="00FB0C2C" w:rsidRDefault="00FB0C2C" w:rsidP="00FB0C2C">
      <w:pPr>
        <w:rPr>
          <w:rFonts w:asciiTheme="minorHAnsi" w:hAnsiTheme="minorHAnsi" w:cstheme="minorHAnsi"/>
        </w:rPr>
      </w:pPr>
      <w:r w:rsidRPr="00FB0C2C">
        <w:rPr>
          <w:rFonts w:asciiTheme="minorHAnsi" w:hAnsiTheme="minorHAnsi" w:cstheme="minorHAnsi"/>
        </w:rPr>
        <w:t> </w:t>
      </w:r>
    </w:p>
    <w:p w14:paraId="6A054FAD" w14:textId="77777777" w:rsidR="00FB0C2C" w:rsidRPr="00FB0C2C" w:rsidRDefault="00FB0C2C" w:rsidP="00FB0C2C">
      <w:pPr>
        <w:rPr>
          <w:rFonts w:asciiTheme="minorHAnsi" w:hAnsiTheme="minorHAnsi" w:cstheme="minorHAnsi"/>
        </w:rPr>
      </w:pPr>
      <w:r w:rsidRPr="00FB0C2C">
        <w:rPr>
          <w:rFonts w:asciiTheme="minorHAnsi" w:hAnsiTheme="minorHAnsi" w:cstheme="minorHAnsi"/>
        </w:rPr>
        <w:t> </w:t>
      </w:r>
    </w:p>
    <w:p w14:paraId="68CE9509" w14:textId="603B2322" w:rsidR="00FB0C2C" w:rsidRPr="00FB0C2C" w:rsidRDefault="00FB0C2C" w:rsidP="00FB0C2C">
      <w:pPr>
        <w:rPr>
          <w:rFonts w:asciiTheme="minorHAnsi" w:hAnsiTheme="minorHAnsi" w:cstheme="minorHAnsi"/>
        </w:rPr>
      </w:pPr>
      <w:r w:rsidRPr="00FB0C2C">
        <w:rPr>
          <w:rFonts w:asciiTheme="minorHAnsi" w:hAnsiTheme="minorHAnsi" w:cstheme="minorHAnsi"/>
        </w:rPr>
        <w:t> </w:t>
      </w:r>
    </w:p>
    <w:p w14:paraId="58385767" w14:textId="39B5AE3F" w:rsidR="00FB0C2C" w:rsidRPr="00FB0C2C" w:rsidRDefault="0018561E" w:rsidP="00FB0C2C">
      <w:pPr>
        <w:rPr>
          <w:rFonts w:asciiTheme="minorHAnsi" w:hAnsiTheme="minorHAnsi" w:cstheme="minorHAnsi"/>
        </w:rPr>
      </w:pPr>
      <w:r w:rsidRPr="0018561E">
        <w:rPr>
          <w:rFonts w:asciiTheme="minorHAnsi" w:hAnsiTheme="minorHAnsi" w:cstheme="minorHAnsi"/>
          <w:noProof/>
        </w:rPr>
        <w:drawing>
          <wp:anchor distT="0" distB="0" distL="114300" distR="114300" simplePos="0" relativeHeight="251659264" behindDoc="0" locked="0" layoutInCell="1" allowOverlap="1" wp14:anchorId="36F9DBF8" wp14:editId="56F4AC2B">
            <wp:simplePos x="0" y="0"/>
            <wp:positionH relativeFrom="column">
              <wp:posOffset>2233930</wp:posOffset>
            </wp:positionH>
            <wp:positionV relativeFrom="paragraph">
              <wp:posOffset>182245</wp:posOffset>
            </wp:positionV>
            <wp:extent cx="1524000" cy="1457325"/>
            <wp:effectExtent l="0" t="0" r="0" b="0"/>
            <wp:wrapSquare wrapText="bothSides"/>
            <wp:docPr id="1710317244" name="Afbeelding 211" descr="Over De Brug – Stichting De B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descr="Over De Brug – Stichting De Bru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457325"/>
                    </a:xfrm>
                    <a:prstGeom prst="rect">
                      <a:avLst/>
                    </a:prstGeom>
                    <a:noFill/>
                    <a:ln>
                      <a:noFill/>
                    </a:ln>
                  </pic:spPr>
                </pic:pic>
              </a:graphicData>
            </a:graphic>
          </wp:anchor>
        </w:drawing>
      </w:r>
      <w:r w:rsidRPr="0018561E">
        <w:rPr>
          <w:rFonts w:asciiTheme="minorHAnsi" w:hAnsiTheme="minorHAnsi" w:cstheme="minorHAnsi"/>
          <w:noProof/>
        </w:rPr>
        <w:drawing>
          <wp:anchor distT="0" distB="0" distL="114300" distR="114300" simplePos="0" relativeHeight="251658240" behindDoc="0" locked="0" layoutInCell="1" allowOverlap="1" wp14:anchorId="7D9D1706" wp14:editId="13DE07C5">
            <wp:simplePos x="0" y="0"/>
            <wp:positionH relativeFrom="column">
              <wp:posOffset>3891280</wp:posOffset>
            </wp:positionH>
            <wp:positionV relativeFrom="paragraph">
              <wp:posOffset>696595</wp:posOffset>
            </wp:positionV>
            <wp:extent cx="2295525" cy="666750"/>
            <wp:effectExtent l="0" t="0" r="0" b="0"/>
            <wp:wrapSquare wrapText="bothSides"/>
            <wp:docPr id="886312762" name="Afbeelding 213" descr="Welkom bij - Werkvisie de H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descr="Welkom bij - Werkvisie de Ho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5525" cy="666750"/>
                    </a:xfrm>
                    <a:prstGeom prst="rect">
                      <a:avLst/>
                    </a:prstGeom>
                    <a:noFill/>
                    <a:ln>
                      <a:noFill/>
                    </a:ln>
                  </pic:spPr>
                </pic:pic>
              </a:graphicData>
            </a:graphic>
          </wp:anchor>
        </w:drawing>
      </w:r>
      <w:r w:rsidR="00FB0C2C" w:rsidRPr="00FB0C2C">
        <w:rPr>
          <w:rFonts w:asciiTheme="minorHAnsi" w:hAnsiTheme="minorHAnsi" w:cstheme="minorHAnsi"/>
        </w:rPr>
        <w:t> </w:t>
      </w:r>
    </w:p>
    <w:p w14:paraId="047E0228" w14:textId="09EA7F28" w:rsidR="00FB0C2C" w:rsidRPr="00FB0C2C" w:rsidRDefault="0018561E" w:rsidP="00FB0C2C">
      <w:pPr>
        <w:rPr>
          <w:rFonts w:asciiTheme="minorHAnsi" w:hAnsiTheme="minorHAnsi" w:cstheme="minorHAnsi"/>
        </w:rPr>
      </w:pPr>
      <w:r w:rsidRPr="0018561E">
        <w:rPr>
          <w:rFonts w:asciiTheme="minorHAnsi" w:hAnsiTheme="minorHAnsi" w:cstheme="minorHAnsi"/>
          <w:noProof/>
        </w:rPr>
        <w:drawing>
          <wp:anchor distT="0" distB="0" distL="114300" distR="114300" simplePos="0" relativeHeight="251660288" behindDoc="0" locked="0" layoutInCell="1" allowOverlap="1" wp14:anchorId="4EE338A5" wp14:editId="48CEBC0E">
            <wp:simplePos x="0" y="0"/>
            <wp:positionH relativeFrom="column">
              <wp:posOffset>147955</wp:posOffset>
            </wp:positionH>
            <wp:positionV relativeFrom="paragraph">
              <wp:posOffset>69215</wp:posOffset>
            </wp:positionV>
            <wp:extent cx="1543050" cy="933450"/>
            <wp:effectExtent l="0" t="0" r="0" b="0"/>
            <wp:wrapSquare wrapText="bothSides"/>
            <wp:docPr id="1963365460" name="Afbeelding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0" cy="933450"/>
                    </a:xfrm>
                    <a:prstGeom prst="rect">
                      <a:avLst/>
                    </a:prstGeom>
                    <a:noFill/>
                    <a:ln>
                      <a:noFill/>
                    </a:ln>
                  </pic:spPr>
                </pic:pic>
              </a:graphicData>
            </a:graphic>
          </wp:anchor>
        </w:drawing>
      </w:r>
      <w:r w:rsidR="00FB0C2C" w:rsidRPr="00FB0C2C">
        <w:rPr>
          <w:rFonts w:asciiTheme="minorHAnsi" w:hAnsiTheme="minorHAnsi" w:cstheme="minorHAnsi"/>
        </w:rPr>
        <w:t> </w:t>
      </w:r>
    </w:p>
    <w:p w14:paraId="7125760B" w14:textId="77777777" w:rsidR="00FB0C2C" w:rsidRPr="00FB0C2C" w:rsidRDefault="00FB0C2C" w:rsidP="00FB0C2C">
      <w:pPr>
        <w:rPr>
          <w:rFonts w:asciiTheme="minorHAnsi" w:hAnsiTheme="minorHAnsi" w:cstheme="minorHAnsi"/>
        </w:rPr>
      </w:pPr>
      <w:r w:rsidRPr="00FB0C2C">
        <w:rPr>
          <w:rFonts w:asciiTheme="minorHAnsi" w:hAnsiTheme="minorHAnsi" w:cstheme="minorHAnsi"/>
        </w:rPr>
        <w:t> </w:t>
      </w:r>
    </w:p>
    <w:p w14:paraId="452E8912" w14:textId="2EA02CDB" w:rsidR="00FB0C2C" w:rsidRPr="00FB0C2C" w:rsidRDefault="00FB0C2C" w:rsidP="00FB0C2C">
      <w:pPr>
        <w:rPr>
          <w:rFonts w:asciiTheme="minorHAnsi" w:hAnsiTheme="minorHAnsi" w:cstheme="minorHAnsi"/>
        </w:rPr>
      </w:pPr>
      <w:r w:rsidRPr="00FB0C2C">
        <w:rPr>
          <w:rFonts w:asciiTheme="minorHAnsi" w:hAnsiTheme="minorHAnsi" w:cstheme="minorHAnsi"/>
        </w:rPr>
        <w:t> </w:t>
      </w:r>
    </w:p>
    <w:p w14:paraId="1A839273" w14:textId="485E7AFA" w:rsidR="0018561E" w:rsidRPr="0018561E" w:rsidRDefault="0018561E">
      <w:pPr>
        <w:rPr>
          <w:rFonts w:asciiTheme="minorHAnsi" w:hAnsiTheme="minorHAnsi" w:cstheme="minorHAnsi"/>
        </w:rPr>
      </w:pPr>
      <w:r w:rsidRPr="0018561E">
        <w:rPr>
          <w:rFonts w:asciiTheme="minorHAnsi" w:hAnsiTheme="minorHAnsi" w:cstheme="minorHAnsi"/>
        </w:rPr>
        <w:br w:type="page"/>
      </w:r>
    </w:p>
    <w:p w14:paraId="4C0F2710" w14:textId="5331414C" w:rsidR="0018561E" w:rsidRPr="0018561E" w:rsidRDefault="0018561E" w:rsidP="0018561E">
      <w:pPr>
        <w:rPr>
          <w:rFonts w:asciiTheme="minorHAnsi" w:hAnsiTheme="minorHAnsi" w:cstheme="minorHAnsi"/>
          <w:b/>
          <w:bCs/>
          <w:sz w:val="28"/>
          <w:szCs w:val="28"/>
        </w:rPr>
      </w:pPr>
      <w:r w:rsidRPr="0018561E">
        <w:rPr>
          <w:rFonts w:asciiTheme="minorHAnsi" w:hAnsiTheme="minorHAnsi" w:cstheme="minorHAnsi"/>
          <w:b/>
          <w:bCs/>
          <w:sz w:val="28"/>
          <w:szCs w:val="28"/>
        </w:rPr>
        <w:lastRenderedPageBreak/>
        <w:t xml:space="preserve">1. Inleiding </w:t>
      </w:r>
      <w:r>
        <w:rPr>
          <w:rFonts w:asciiTheme="minorHAnsi" w:hAnsiTheme="minorHAnsi" w:cstheme="minorHAnsi"/>
          <w:b/>
          <w:bCs/>
          <w:sz w:val="28"/>
          <w:szCs w:val="28"/>
        </w:rPr>
        <w:br/>
      </w:r>
      <w:r w:rsidRPr="0018561E">
        <w:rPr>
          <w:rFonts w:asciiTheme="minorHAnsi" w:hAnsiTheme="minorHAnsi" w:cstheme="minorHAnsi"/>
        </w:rPr>
        <w:t xml:space="preserve">In oktober 2022 is het Kwaliteitskader Forensische Zorg ingegaan. De komende jaren zullen in het teken staan van het implementeren, onderhouden en borgen van de verschillende kwaliteitsaspecten uit het kader. Door middel van dit kwaliteitsverslag maken we als organisaties transparant waar we staan met betrekking tot de implementatie van de kwaliteitsaspecten over 2025. Allereerst beschrijven we onze visie op de forensische zorg en welke vormen van forensische zorg we bieden binnen onze organisaties. Vervolgens geven we een samenvatting van de stand van zaken op de kwaliteitsaspecten en delen we onze ontwikkelpunten voor komend jaar. Tot slot maken we door middel van resultaten op de afgesproken prestatie-indicatoren inzichtelijk waar we staan op het gebied van kwaliteit van zorg. </w:t>
      </w:r>
    </w:p>
    <w:p w14:paraId="1B6241CF" w14:textId="3997BFF8" w:rsidR="0018561E" w:rsidRPr="0018561E" w:rsidRDefault="0018561E" w:rsidP="0018561E">
      <w:pPr>
        <w:rPr>
          <w:rFonts w:asciiTheme="minorHAnsi" w:hAnsiTheme="minorHAnsi" w:cstheme="minorHAnsi"/>
          <w:b/>
          <w:bCs/>
          <w:sz w:val="28"/>
          <w:szCs w:val="28"/>
        </w:rPr>
      </w:pPr>
      <w:r w:rsidRPr="0018561E">
        <w:rPr>
          <w:rFonts w:asciiTheme="minorHAnsi" w:hAnsiTheme="minorHAnsi" w:cstheme="minorHAnsi"/>
          <w:b/>
          <w:bCs/>
          <w:sz w:val="28"/>
          <w:szCs w:val="28"/>
        </w:rPr>
        <w:t xml:space="preserve">2. Visie op forensische zorg </w:t>
      </w:r>
      <w:r>
        <w:rPr>
          <w:rFonts w:asciiTheme="minorHAnsi" w:hAnsiTheme="minorHAnsi" w:cstheme="minorHAnsi"/>
          <w:b/>
          <w:bCs/>
          <w:sz w:val="28"/>
          <w:szCs w:val="28"/>
        </w:rPr>
        <w:br/>
      </w:r>
      <w:r w:rsidRPr="0018561E">
        <w:rPr>
          <w:rFonts w:asciiTheme="minorHAnsi" w:hAnsiTheme="minorHAnsi" w:cstheme="minorHAnsi"/>
        </w:rPr>
        <w:t xml:space="preserve">Bij De Hoop Groep werken we aan onze missie om mensen op weg te helpen naar nieuw leven. Daarbij is ieder mens kostbaar en uniek. We werken met hoop en perspectief aan herstel voor zowel reguliere ggz- als forensische cliënten. Mensen die (voorwaardelijk) zijn veroordeeld tot een straf of maatregel krijgen binnen onze forensische zorg een kans om opnieuw deel te nemen aan de maatschappij. Goede, deskundige zorg mét een hoopvol toekomstperspectief, dat is waar wij voor staan. </w:t>
      </w:r>
    </w:p>
    <w:p w14:paraId="16AB0A66" w14:textId="19851F27" w:rsidR="0018561E" w:rsidRPr="0018561E" w:rsidRDefault="0018561E" w:rsidP="0018561E">
      <w:pPr>
        <w:rPr>
          <w:rFonts w:asciiTheme="minorHAnsi" w:hAnsiTheme="minorHAnsi" w:cstheme="minorHAnsi"/>
        </w:rPr>
      </w:pPr>
      <w:r w:rsidRPr="0018561E">
        <w:rPr>
          <w:rFonts w:asciiTheme="minorHAnsi" w:hAnsiTheme="minorHAnsi" w:cstheme="minorHAnsi"/>
        </w:rPr>
        <w:t>Behandeling en begeleiding is altijd maatwerk, voor niemand hetzelfde. We sluiten aan bij de specifieke behoeften van de forensische cliënt en bieden passende hulp. Dit doen wij vanuit verscheidene theoretische kaders zoals het Risk-</w:t>
      </w:r>
      <w:proofErr w:type="spellStart"/>
      <w:r w:rsidRPr="0018561E">
        <w:rPr>
          <w:rFonts w:asciiTheme="minorHAnsi" w:hAnsiTheme="minorHAnsi" w:cstheme="minorHAnsi"/>
        </w:rPr>
        <w:t>Need</w:t>
      </w:r>
      <w:proofErr w:type="spellEnd"/>
      <w:r w:rsidRPr="0018561E">
        <w:rPr>
          <w:rFonts w:asciiTheme="minorHAnsi" w:hAnsiTheme="minorHAnsi" w:cstheme="minorHAnsi"/>
        </w:rPr>
        <w:t>-</w:t>
      </w:r>
      <w:proofErr w:type="spellStart"/>
      <w:r w:rsidRPr="0018561E">
        <w:rPr>
          <w:rFonts w:asciiTheme="minorHAnsi" w:hAnsiTheme="minorHAnsi" w:cstheme="minorHAnsi"/>
        </w:rPr>
        <w:t>Responsivity</w:t>
      </w:r>
      <w:proofErr w:type="spellEnd"/>
      <w:r w:rsidRPr="0018561E">
        <w:rPr>
          <w:rFonts w:asciiTheme="minorHAnsi" w:hAnsiTheme="minorHAnsi" w:cstheme="minorHAnsi"/>
        </w:rPr>
        <w:t xml:space="preserve">-(RNR-)model, het schemagericht werken volgens de theorie van Bernstein en het </w:t>
      </w:r>
      <w:proofErr w:type="spellStart"/>
      <w:r w:rsidRPr="0018561E">
        <w:rPr>
          <w:rFonts w:asciiTheme="minorHAnsi" w:hAnsiTheme="minorHAnsi" w:cstheme="minorHAnsi"/>
        </w:rPr>
        <w:t>Good</w:t>
      </w:r>
      <w:proofErr w:type="spellEnd"/>
      <w:r w:rsidRPr="0018561E">
        <w:rPr>
          <w:rFonts w:asciiTheme="minorHAnsi" w:hAnsiTheme="minorHAnsi" w:cstheme="minorHAnsi"/>
        </w:rPr>
        <w:t xml:space="preserve"> </w:t>
      </w:r>
      <w:proofErr w:type="spellStart"/>
      <w:r w:rsidRPr="0018561E">
        <w:rPr>
          <w:rFonts w:asciiTheme="minorHAnsi" w:hAnsiTheme="minorHAnsi" w:cstheme="minorHAnsi"/>
        </w:rPr>
        <w:t>Lives</w:t>
      </w:r>
      <w:proofErr w:type="spellEnd"/>
      <w:r w:rsidRPr="0018561E">
        <w:rPr>
          <w:rFonts w:asciiTheme="minorHAnsi" w:hAnsiTheme="minorHAnsi" w:cstheme="minorHAnsi"/>
        </w:rPr>
        <w:t xml:space="preserve"> Model (GLM). Naast </w:t>
      </w:r>
      <w:r w:rsidR="00324E4F">
        <w:rPr>
          <w:rFonts w:asciiTheme="minorHAnsi" w:hAnsiTheme="minorHAnsi" w:cstheme="minorHAnsi"/>
        </w:rPr>
        <w:t xml:space="preserve">het </w:t>
      </w:r>
      <w:r w:rsidRPr="0018561E">
        <w:rPr>
          <w:rFonts w:asciiTheme="minorHAnsi" w:hAnsiTheme="minorHAnsi" w:cstheme="minorHAnsi"/>
        </w:rPr>
        <w:t xml:space="preserve">werken aan het verminderen van risicofactoren, richten we ons in de behandeling en begeleiding ook nadrukkelijk op het versterken van beschermende factoren. Ieder mens komt in onze visie tot zijn bestemming in relaties. Samen met de cliënt zoeken we naar het maximale herstel in zijn/haar relaties. Vanuit de kracht van herstel van relaties en vanuit deskundigheid zoekend naar mogelijkheden en met respect voor grenzen die er kunnen zijn.  </w:t>
      </w:r>
    </w:p>
    <w:p w14:paraId="6B8F5A2E" w14:textId="4F4574A9" w:rsidR="0018561E" w:rsidRPr="0018561E" w:rsidRDefault="0018561E" w:rsidP="0018561E">
      <w:pPr>
        <w:rPr>
          <w:rFonts w:asciiTheme="minorHAnsi" w:hAnsiTheme="minorHAnsi" w:cstheme="minorHAnsi"/>
        </w:rPr>
      </w:pPr>
      <w:r w:rsidRPr="0018561E">
        <w:rPr>
          <w:rFonts w:asciiTheme="minorHAnsi" w:hAnsiTheme="minorHAnsi" w:cstheme="minorHAnsi"/>
        </w:rPr>
        <w:t>Forensische zorg is onderdeel van een bredere maatschappelijke opgave. Daarom staan we in de forensische zorg niet alleen. Samen met onze ketenpartners bieden we cliënten passende hulp en zinvolle dagbesteding. Zowel tijdens als na afloop van een forensisch zorgtraject werken we nauw samen binnen ons intern ketenaanbod alsook met andere zorgaanbieders, gemeenten en toezichthouders.</w:t>
      </w:r>
    </w:p>
    <w:p w14:paraId="2B71EA18" w14:textId="269D1709" w:rsidR="0018561E" w:rsidRPr="0018561E" w:rsidRDefault="0018561E" w:rsidP="0018561E">
      <w:pPr>
        <w:rPr>
          <w:rFonts w:asciiTheme="minorHAnsi" w:hAnsiTheme="minorHAnsi" w:cstheme="minorHAnsi"/>
          <w:sz w:val="28"/>
          <w:szCs w:val="28"/>
        </w:rPr>
      </w:pPr>
      <w:r w:rsidRPr="0018561E">
        <w:rPr>
          <w:rFonts w:asciiTheme="minorHAnsi" w:hAnsiTheme="minorHAnsi" w:cstheme="minorHAnsi"/>
          <w:b/>
          <w:bCs/>
          <w:sz w:val="28"/>
          <w:szCs w:val="28"/>
        </w:rPr>
        <w:t>3. Algemene informatie over de geleverde forensische zorg</w:t>
      </w:r>
      <w:r w:rsidRPr="0018561E">
        <w:rPr>
          <w:rFonts w:asciiTheme="minorHAnsi" w:hAnsiTheme="minorHAnsi" w:cstheme="minorHAnsi"/>
          <w:sz w:val="28"/>
          <w:szCs w:val="28"/>
        </w:rPr>
        <w:t> </w:t>
      </w:r>
      <w:r>
        <w:rPr>
          <w:rFonts w:asciiTheme="minorHAnsi" w:hAnsiTheme="minorHAnsi" w:cstheme="minorHAnsi"/>
          <w:sz w:val="28"/>
          <w:szCs w:val="28"/>
        </w:rPr>
        <w:br/>
      </w:r>
      <w:r w:rsidRPr="0018561E">
        <w:rPr>
          <w:rFonts w:asciiTheme="minorHAnsi" w:hAnsiTheme="minorHAnsi" w:cstheme="minorHAnsi"/>
        </w:rPr>
        <w:t>De Hoop levert in samenwerking met De Brug en Werkvisie De Hoop in de forensische zorg de zorgsoorten klinische zorg op beveiligingsniveau 1, ambulante behandeling, regionale verblijfszorg (BW), ambulante (thuis)begeleiding en ambulante dagbesteding. Als instellingen hebben we specifieke kennis van en expertise in de verslavingszorg en de behandeling van persoonlijkheidsstoornissen. Daarbij zijn we gespecialiseerd in het bieden van behandeling voor dubbeldiagnose (verslaving en psychiatrie) en bieden we klinische detoxificatie onder medisch toezic</w:t>
      </w:r>
      <w:r>
        <w:rPr>
          <w:rFonts w:asciiTheme="minorHAnsi" w:hAnsiTheme="minorHAnsi" w:cstheme="minorHAnsi"/>
        </w:rPr>
        <w:t>h</w:t>
      </w:r>
      <w:r w:rsidRPr="0018561E">
        <w:rPr>
          <w:rFonts w:asciiTheme="minorHAnsi" w:hAnsiTheme="minorHAnsi" w:cstheme="minorHAnsi"/>
        </w:rPr>
        <w:t>t. Alle klinische zorg vindt plaats op dezelfde locatie, wat de ketenzorg bevordert.  </w:t>
      </w:r>
    </w:p>
    <w:p w14:paraId="4C2E65DF" w14:textId="77777777" w:rsidR="0018561E" w:rsidRPr="0018561E" w:rsidRDefault="0018561E" w:rsidP="0018561E">
      <w:pPr>
        <w:rPr>
          <w:rFonts w:asciiTheme="minorHAnsi" w:hAnsiTheme="minorHAnsi" w:cstheme="minorHAnsi"/>
        </w:rPr>
      </w:pPr>
      <w:r w:rsidRPr="0018561E">
        <w:rPr>
          <w:rFonts w:asciiTheme="minorHAnsi" w:hAnsiTheme="minorHAnsi" w:cstheme="minorHAnsi"/>
        </w:rPr>
        <w:t>In 2025 is als opvolger van de zorglijnmanager forensische zorg een programmamanager aangesteld. Zij is klinisch psycholoog met ruime ervaring in de forensische zorg. De opdracht die deze programmamanager heeft meegekregen is het verbeteren van de kwaliteit en kwantiteit van de forensische zorg binnen De Hoop. De doelstellingen en bijbehorende projecten in het programma zijn gebaseerd op en uitgewerkt aan de hand van de vijf pijlers van het kwaliteitskader forensische zorg. </w:t>
      </w:r>
    </w:p>
    <w:p w14:paraId="4CCED909" w14:textId="1C24EA83" w:rsidR="0018561E" w:rsidRPr="0018561E" w:rsidRDefault="0018561E" w:rsidP="0018561E">
      <w:pPr>
        <w:rPr>
          <w:rFonts w:asciiTheme="minorHAnsi" w:hAnsiTheme="minorHAnsi" w:cstheme="minorHAnsi"/>
        </w:rPr>
      </w:pPr>
      <w:r w:rsidRPr="0018561E">
        <w:rPr>
          <w:rFonts w:asciiTheme="minorHAnsi" w:hAnsiTheme="minorHAnsi" w:cstheme="minorHAnsi"/>
        </w:rPr>
        <w:lastRenderedPageBreak/>
        <w:t>Het aantal cliënten op peildatum 31 december 2025 was als volgt:  </w:t>
      </w:r>
    </w:p>
    <w:tbl>
      <w:tblPr>
        <w:tblW w:w="88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3"/>
        <w:gridCol w:w="2120"/>
        <w:gridCol w:w="3401"/>
        <w:gridCol w:w="1445"/>
      </w:tblGrid>
      <w:tr w:rsidR="0018561E" w:rsidRPr="0018561E" w14:paraId="2941361A" w14:textId="77777777" w:rsidTr="0018561E">
        <w:trPr>
          <w:trHeight w:val="281"/>
        </w:trPr>
        <w:tc>
          <w:tcPr>
            <w:tcW w:w="1923" w:type="dxa"/>
            <w:tcBorders>
              <w:top w:val="single" w:sz="6" w:space="0" w:color="000000"/>
              <w:left w:val="single" w:sz="6" w:space="0" w:color="000000"/>
              <w:bottom w:val="single" w:sz="6" w:space="0" w:color="000000"/>
              <w:right w:val="single" w:sz="6" w:space="0" w:color="000000"/>
            </w:tcBorders>
            <w:hideMark/>
          </w:tcPr>
          <w:p w14:paraId="366902CA" w14:textId="77777777" w:rsidR="0018561E" w:rsidRPr="0018561E" w:rsidRDefault="0018561E" w:rsidP="0018561E">
            <w:pPr>
              <w:rPr>
                <w:rFonts w:asciiTheme="minorHAnsi" w:hAnsiTheme="minorHAnsi" w:cstheme="minorHAnsi"/>
              </w:rPr>
            </w:pPr>
            <w:r w:rsidRPr="0018561E">
              <w:rPr>
                <w:rFonts w:asciiTheme="minorHAnsi" w:hAnsiTheme="minorHAnsi" w:cstheme="minorHAnsi"/>
                <w:i/>
                <w:iCs/>
              </w:rPr>
              <w:t>Peildatum 31 december 2025</w:t>
            </w:r>
            <w:r w:rsidRPr="0018561E">
              <w:rPr>
                <w:rFonts w:asciiTheme="minorHAnsi" w:hAnsiTheme="minorHAnsi" w:cstheme="minorHAnsi"/>
              </w:rPr>
              <w:t> </w:t>
            </w:r>
          </w:p>
        </w:tc>
        <w:tc>
          <w:tcPr>
            <w:tcW w:w="2120" w:type="dxa"/>
            <w:tcBorders>
              <w:top w:val="single" w:sz="6" w:space="0" w:color="000000"/>
              <w:left w:val="single" w:sz="6" w:space="0" w:color="000000"/>
              <w:bottom w:val="single" w:sz="6" w:space="0" w:color="000000"/>
              <w:right w:val="single" w:sz="6" w:space="0" w:color="000000"/>
            </w:tcBorders>
            <w:hideMark/>
          </w:tcPr>
          <w:p w14:paraId="759CD506" w14:textId="77777777" w:rsidR="0018561E" w:rsidRPr="0018561E" w:rsidRDefault="0018561E" w:rsidP="0018561E">
            <w:pPr>
              <w:rPr>
                <w:rFonts w:asciiTheme="minorHAnsi" w:hAnsiTheme="minorHAnsi" w:cstheme="minorHAnsi"/>
              </w:rPr>
            </w:pPr>
            <w:r w:rsidRPr="0018561E">
              <w:rPr>
                <w:rFonts w:asciiTheme="minorHAnsi" w:hAnsiTheme="minorHAnsi" w:cstheme="minorHAnsi"/>
                <w:b/>
                <w:bCs/>
              </w:rPr>
              <w:t>Aantal openstaande ZPM-FZ trajecten</w:t>
            </w:r>
            <w:r w:rsidRPr="0018561E">
              <w:rPr>
                <w:rFonts w:asciiTheme="minorHAnsi" w:hAnsiTheme="minorHAnsi" w:cstheme="minorHAnsi"/>
              </w:rPr>
              <w:t> </w:t>
            </w:r>
          </w:p>
        </w:tc>
        <w:tc>
          <w:tcPr>
            <w:tcW w:w="3401" w:type="dxa"/>
            <w:tcBorders>
              <w:top w:val="single" w:sz="6" w:space="0" w:color="000000"/>
              <w:left w:val="single" w:sz="6" w:space="0" w:color="000000"/>
              <w:bottom w:val="single" w:sz="6" w:space="0" w:color="000000"/>
              <w:right w:val="single" w:sz="6" w:space="0" w:color="000000"/>
            </w:tcBorders>
            <w:hideMark/>
          </w:tcPr>
          <w:p w14:paraId="1CA538A0" w14:textId="77777777" w:rsidR="0018561E" w:rsidRPr="0018561E" w:rsidRDefault="0018561E" w:rsidP="0018561E">
            <w:pPr>
              <w:rPr>
                <w:rFonts w:asciiTheme="minorHAnsi" w:hAnsiTheme="minorHAnsi" w:cstheme="minorHAnsi"/>
              </w:rPr>
            </w:pPr>
            <w:r w:rsidRPr="0018561E">
              <w:rPr>
                <w:rFonts w:asciiTheme="minorHAnsi" w:hAnsiTheme="minorHAnsi" w:cstheme="minorHAnsi"/>
                <w:b/>
                <w:bCs/>
              </w:rPr>
              <w:t>Aantal openstaande ZZP/EP trajecten</w:t>
            </w:r>
            <w:r w:rsidRPr="0018561E">
              <w:rPr>
                <w:rFonts w:asciiTheme="minorHAnsi" w:hAnsiTheme="minorHAnsi" w:cstheme="minorHAnsi"/>
              </w:rPr>
              <w:t> </w:t>
            </w:r>
          </w:p>
        </w:tc>
        <w:tc>
          <w:tcPr>
            <w:tcW w:w="1445" w:type="dxa"/>
            <w:tcBorders>
              <w:top w:val="single" w:sz="6" w:space="0" w:color="000000"/>
              <w:left w:val="single" w:sz="6" w:space="0" w:color="000000"/>
              <w:bottom w:val="single" w:sz="6" w:space="0" w:color="000000"/>
              <w:right w:val="single" w:sz="6" w:space="0" w:color="000000"/>
            </w:tcBorders>
            <w:hideMark/>
          </w:tcPr>
          <w:p w14:paraId="097A05E7" w14:textId="77777777" w:rsidR="0018561E" w:rsidRPr="0018561E" w:rsidRDefault="0018561E" w:rsidP="0018561E">
            <w:pPr>
              <w:rPr>
                <w:rFonts w:asciiTheme="minorHAnsi" w:hAnsiTheme="minorHAnsi" w:cstheme="minorHAnsi"/>
              </w:rPr>
            </w:pPr>
            <w:r w:rsidRPr="0018561E">
              <w:rPr>
                <w:rFonts w:asciiTheme="minorHAnsi" w:hAnsiTheme="minorHAnsi" w:cstheme="minorHAnsi"/>
                <w:b/>
                <w:bCs/>
              </w:rPr>
              <w:t>Totaal aantal cliënten</w:t>
            </w:r>
            <w:r w:rsidRPr="0018561E">
              <w:rPr>
                <w:rFonts w:asciiTheme="minorHAnsi" w:hAnsiTheme="minorHAnsi" w:cstheme="minorHAnsi"/>
              </w:rPr>
              <w:t> </w:t>
            </w:r>
          </w:p>
        </w:tc>
      </w:tr>
      <w:tr w:rsidR="0018561E" w:rsidRPr="0018561E" w14:paraId="4A9FB50D" w14:textId="77777777" w:rsidTr="0018561E">
        <w:trPr>
          <w:trHeight w:val="281"/>
        </w:trPr>
        <w:tc>
          <w:tcPr>
            <w:tcW w:w="1923" w:type="dxa"/>
            <w:tcBorders>
              <w:top w:val="single" w:sz="6" w:space="0" w:color="000000"/>
              <w:left w:val="single" w:sz="6" w:space="0" w:color="000000"/>
              <w:bottom w:val="single" w:sz="6" w:space="0" w:color="000000"/>
              <w:right w:val="single" w:sz="6" w:space="0" w:color="000000"/>
            </w:tcBorders>
            <w:hideMark/>
          </w:tcPr>
          <w:p w14:paraId="45C54C5A" w14:textId="77777777" w:rsidR="0018561E" w:rsidRPr="0018561E" w:rsidRDefault="0018561E" w:rsidP="0018561E">
            <w:pPr>
              <w:rPr>
                <w:rFonts w:asciiTheme="minorHAnsi" w:hAnsiTheme="minorHAnsi" w:cstheme="minorHAnsi"/>
              </w:rPr>
            </w:pPr>
            <w:r w:rsidRPr="0018561E">
              <w:rPr>
                <w:rFonts w:asciiTheme="minorHAnsi" w:hAnsiTheme="minorHAnsi" w:cstheme="minorHAnsi"/>
                <w:b/>
                <w:bCs/>
              </w:rPr>
              <w:t>De Hoop</w:t>
            </w:r>
            <w:r w:rsidRPr="0018561E">
              <w:rPr>
                <w:rFonts w:asciiTheme="minorHAnsi" w:hAnsiTheme="minorHAnsi" w:cstheme="minorHAnsi"/>
              </w:rPr>
              <w:t> </w:t>
            </w:r>
          </w:p>
        </w:tc>
        <w:tc>
          <w:tcPr>
            <w:tcW w:w="2120" w:type="dxa"/>
            <w:tcBorders>
              <w:top w:val="single" w:sz="6" w:space="0" w:color="000000"/>
              <w:left w:val="single" w:sz="6" w:space="0" w:color="000000"/>
              <w:bottom w:val="single" w:sz="6" w:space="0" w:color="000000"/>
              <w:right w:val="single" w:sz="6" w:space="0" w:color="000000"/>
            </w:tcBorders>
            <w:hideMark/>
          </w:tcPr>
          <w:p w14:paraId="3D0EE86B" w14:textId="44F27E1C" w:rsidR="0018561E" w:rsidRPr="0018561E" w:rsidRDefault="00D92BF5" w:rsidP="0018561E">
            <w:pPr>
              <w:rPr>
                <w:rFonts w:asciiTheme="minorHAnsi" w:hAnsiTheme="minorHAnsi" w:cstheme="minorHAnsi"/>
              </w:rPr>
            </w:pPr>
            <w:r>
              <w:rPr>
                <w:rFonts w:asciiTheme="minorHAnsi" w:hAnsiTheme="minorHAnsi" w:cstheme="minorHAnsi"/>
              </w:rPr>
              <w:t xml:space="preserve">17 </w:t>
            </w:r>
          </w:p>
        </w:tc>
        <w:tc>
          <w:tcPr>
            <w:tcW w:w="3401" w:type="dxa"/>
            <w:tcBorders>
              <w:top w:val="single" w:sz="6" w:space="0" w:color="000000"/>
              <w:left w:val="single" w:sz="6" w:space="0" w:color="000000"/>
              <w:bottom w:val="single" w:sz="6" w:space="0" w:color="000000"/>
              <w:right w:val="single" w:sz="6" w:space="0" w:color="000000"/>
            </w:tcBorders>
            <w:hideMark/>
          </w:tcPr>
          <w:p w14:paraId="7FF734E6" w14:textId="77777777" w:rsidR="0018561E" w:rsidRPr="0018561E" w:rsidRDefault="0018561E" w:rsidP="0018561E">
            <w:pPr>
              <w:rPr>
                <w:rFonts w:asciiTheme="minorHAnsi" w:hAnsiTheme="minorHAnsi" w:cstheme="minorHAnsi"/>
              </w:rPr>
            </w:pPr>
            <w:r w:rsidRPr="0018561E">
              <w:rPr>
                <w:rFonts w:asciiTheme="minorHAnsi" w:hAnsiTheme="minorHAnsi" w:cstheme="minorHAnsi"/>
              </w:rPr>
              <w:t>11 (verblijf, begeleiding) </w:t>
            </w:r>
          </w:p>
        </w:tc>
        <w:tc>
          <w:tcPr>
            <w:tcW w:w="1445" w:type="dxa"/>
            <w:tcBorders>
              <w:top w:val="single" w:sz="6" w:space="0" w:color="000000"/>
              <w:left w:val="single" w:sz="6" w:space="0" w:color="000000"/>
              <w:bottom w:val="single" w:sz="6" w:space="0" w:color="000000"/>
              <w:right w:val="single" w:sz="6" w:space="0" w:color="000000"/>
            </w:tcBorders>
            <w:hideMark/>
          </w:tcPr>
          <w:p w14:paraId="49B54833" w14:textId="7920868B" w:rsidR="0018561E" w:rsidRPr="0018561E" w:rsidRDefault="0018561E" w:rsidP="0018561E">
            <w:pPr>
              <w:rPr>
                <w:rFonts w:asciiTheme="minorHAnsi" w:hAnsiTheme="minorHAnsi" w:cstheme="minorHAnsi"/>
              </w:rPr>
            </w:pPr>
            <w:r w:rsidRPr="0018561E">
              <w:rPr>
                <w:rFonts w:asciiTheme="minorHAnsi" w:hAnsiTheme="minorHAnsi" w:cstheme="minorHAnsi"/>
              </w:rPr>
              <w:t> </w:t>
            </w:r>
            <w:r w:rsidR="008A3F66">
              <w:rPr>
                <w:rFonts w:asciiTheme="minorHAnsi" w:hAnsiTheme="minorHAnsi" w:cstheme="minorHAnsi"/>
              </w:rPr>
              <w:t>20</w:t>
            </w:r>
          </w:p>
        </w:tc>
      </w:tr>
      <w:tr w:rsidR="0018561E" w:rsidRPr="0018561E" w14:paraId="7FCBA594" w14:textId="77777777" w:rsidTr="0018561E">
        <w:trPr>
          <w:trHeight w:val="281"/>
        </w:trPr>
        <w:tc>
          <w:tcPr>
            <w:tcW w:w="1923" w:type="dxa"/>
            <w:tcBorders>
              <w:top w:val="single" w:sz="6" w:space="0" w:color="000000"/>
              <w:left w:val="single" w:sz="6" w:space="0" w:color="000000"/>
              <w:bottom w:val="single" w:sz="6" w:space="0" w:color="000000"/>
              <w:right w:val="single" w:sz="6" w:space="0" w:color="000000"/>
            </w:tcBorders>
            <w:hideMark/>
          </w:tcPr>
          <w:p w14:paraId="6BF19C78" w14:textId="77777777" w:rsidR="0018561E" w:rsidRPr="0018561E" w:rsidRDefault="0018561E" w:rsidP="0018561E">
            <w:pPr>
              <w:rPr>
                <w:rFonts w:asciiTheme="minorHAnsi" w:hAnsiTheme="minorHAnsi" w:cstheme="minorHAnsi"/>
              </w:rPr>
            </w:pPr>
            <w:r w:rsidRPr="0018561E">
              <w:rPr>
                <w:rFonts w:asciiTheme="minorHAnsi" w:hAnsiTheme="minorHAnsi" w:cstheme="minorHAnsi"/>
                <w:b/>
                <w:bCs/>
              </w:rPr>
              <w:t>De Brug</w:t>
            </w:r>
            <w:r w:rsidRPr="0018561E">
              <w:rPr>
                <w:rFonts w:asciiTheme="minorHAnsi" w:hAnsiTheme="minorHAnsi" w:cstheme="minorHAnsi"/>
              </w:rPr>
              <w:t> </w:t>
            </w:r>
          </w:p>
        </w:tc>
        <w:tc>
          <w:tcPr>
            <w:tcW w:w="2120" w:type="dxa"/>
            <w:tcBorders>
              <w:top w:val="single" w:sz="6" w:space="0" w:color="000000"/>
              <w:left w:val="single" w:sz="6" w:space="0" w:color="000000"/>
              <w:bottom w:val="single" w:sz="6" w:space="0" w:color="000000"/>
              <w:right w:val="single" w:sz="6" w:space="0" w:color="000000"/>
            </w:tcBorders>
            <w:hideMark/>
          </w:tcPr>
          <w:p w14:paraId="2F0CA540" w14:textId="77777777" w:rsidR="0018561E" w:rsidRPr="0018561E" w:rsidRDefault="0018561E" w:rsidP="0018561E">
            <w:pPr>
              <w:rPr>
                <w:rFonts w:asciiTheme="minorHAnsi" w:hAnsiTheme="minorHAnsi" w:cstheme="minorHAnsi"/>
              </w:rPr>
            </w:pPr>
            <w:r w:rsidRPr="0018561E">
              <w:rPr>
                <w:rFonts w:asciiTheme="minorHAnsi" w:hAnsiTheme="minorHAnsi" w:cstheme="minorHAnsi"/>
              </w:rPr>
              <w:t>3 </w:t>
            </w:r>
          </w:p>
        </w:tc>
        <w:tc>
          <w:tcPr>
            <w:tcW w:w="3401" w:type="dxa"/>
            <w:tcBorders>
              <w:top w:val="single" w:sz="6" w:space="0" w:color="000000"/>
              <w:left w:val="single" w:sz="6" w:space="0" w:color="000000"/>
              <w:bottom w:val="single" w:sz="6" w:space="0" w:color="000000"/>
              <w:right w:val="single" w:sz="6" w:space="0" w:color="000000"/>
            </w:tcBorders>
            <w:hideMark/>
          </w:tcPr>
          <w:p w14:paraId="132C5342" w14:textId="77777777" w:rsidR="0018561E" w:rsidRPr="0018561E" w:rsidRDefault="0018561E" w:rsidP="0018561E">
            <w:pPr>
              <w:rPr>
                <w:rFonts w:asciiTheme="minorHAnsi" w:hAnsiTheme="minorHAnsi" w:cstheme="minorHAnsi"/>
              </w:rPr>
            </w:pPr>
            <w:r w:rsidRPr="0018561E">
              <w:rPr>
                <w:rFonts w:asciiTheme="minorHAnsi" w:hAnsiTheme="minorHAnsi" w:cstheme="minorHAnsi"/>
              </w:rPr>
              <w:t>n.v.t. </w:t>
            </w:r>
          </w:p>
        </w:tc>
        <w:tc>
          <w:tcPr>
            <w:tcW w:w="1445" w:type="dxa"/>
            <w:tcBorders>
              <w:top w:val="single" w:sz="6" w:space="0" w:color="000000"/>
              <w:left w:val="single" w:sz="6" w:space="0" w:color="000000"/>
              <w:bottom w:val="single" w:sz="6" w:space="0" w:color="000000"/>
              <w:right w:val="single" w:sz="6" w:space="0" w:color="000000"/>
            </w:tcBorders>
            <w:hideMark/>
          </w:tcPr>
          <w:p w14:paraId="2682B7A3" w14:textId="0DF30E22" w:rsidR="0018561E" w:rsidRPr="0018561E" w:rsidRDefault="0018561E" w:rsidP="0018561E">
            <w:pPr>
              <w:rPr>
                <w:rFonts w:asciiTheme="minorHAnsi" w:hAnsiTheme="minorHAnsi" w:cstheme="minorHAnsi"/>
              </w:rPr>
            </w:pPr>
            <w:r w:rsidRPr="0018561E">
              <w:rPr>
                <w:rFonts w:asciiTheme="minorHAnsi" w:hAnsiTheme="minorHAnsi" w:cstheme="minorHAnsi"/>
              </w:rPr>
              <w:t> </w:t>
            </w:r>
            <w:r w:rsidR="008A3F66">
              <w:rPr>
                <w:rFonts w:asciiTheme="minorHAnsi" w:hAnsiTheme="minorHAnsi" w:cstheme="minorHAnsi"/>
              </w:rPr>
              <w:t>3</w:t>
            </w:r>
          </w:p>
        </w:tc>
      </w:tr>
      <w:tr w:rsidR="0018561E" w:rsidRPr="0018561E" w14:paraId="51D7F3AA" w14:textId="77777777" w:rsidTr="0018561E">
        <w:trPr>
          <w:trHeight w:val="281"/>
        </w:trPr>
        <w:tc>
          <w:tcPr>
            <w:tcW w:w="1923" w:type="dxa"/>
            <w:tcBorders>
              <w:top w:val="single" w:sz="6" w:space="0" w:color="000000"/>
              <w:left w:val="single" w:sz="6" w:space="0" w:color="000000"/>
              <w:bottom w:val="single" w:sz="6" w:space="0" w:color="000000"/>
              <w:right w:val="single" w:sz="6" w:space="0" w:color="000000"/>
            </w:tcBorders>
            <w:hideMark/>
          </w:tcPr>
          <w:p w14:paraId="429C15E7" w14:textId="77777777" w:rsidR="0018561E" w:rsidRPr="0018561E" w:rsidRDefault="0018561E" w:rsidP="0018561E">
            <w:pPr>
              <w:rPr>
                <w:rFonts w:asciiTheme="minorHAnsi" w:hAnsiTheme="minorHAnsi" w:cstheme="minorHAnsi"/>
              </w:rPr>
            </w:pPr>
            <w:r w:rsidRPr="0018561E">
              <w:rPr>
                <w:rFonts w:asciiTheme="minorHAnsi" w:hAnsiTheme="minorHAnsi" w:cstheme="minorHAnsi"/>
                <w:b/>
                <w:bCs/>
              </w:rPr>
              <w:t>Werkvisie De Hoop</w:t>
            </w:r>
            <w:r w:rsidRPr="0018561E">
              <w:rPr>
                <w:rFonts w:asciiTheme="minorHAnsi" w:hAnsiTheme="minorHAnsi" w:cstheme="minorHAnsi"/>
              </w:rPr>
              <w:t> </w:t>
            </w:r>
          </w:p>
        </w:tc>
        <w:tc>
          <w:tcPr>
            <w:tcW w:w="2120" w:type="dxa"/>
            <w:tcBorders>
              <w:top w:val="single" w:sz="6" w:space="0" w:color="000000"/>
              <w:left w:val="single" w:sz="6" w:space="0" w:color="000000"/>
              <w:bottom w:val="single" w:sz="6" w:space="0" w:color="000000"/>
              <w:right w:val="single" w:sz="6" w:space="0" w:color="000000"/>
            </w:tcBorders>
            <w:hideMark/>
          </w:tcPr>
          <w:p w14:paraId="79011190" w14:textId="77777777" w:rsidR="0018561E" w:rsidRPr="0018561E" w:rsidRDefault="0018561E" w:rsidP="0018561E">
            <w:pPr>
              <w:rPr>
                <w:rFonts w:asciiTheme="minorHAnsi" w:hAnsiTheme="minorHAnsi" w:cstheme="minorHAnsi"/>
              </w:rPr>
            </w:pPr>
            <w:r w:rsidRPr="0018561E">
              <w:rPr>
                <w:rFonts w:asciiTheme="minorHAnsi" w:hAnsiTheme="minorHAnsi" w:cstheme="minorHAnsi"/>
              </w:rPr>
              <w:t>n.v.t. </w:t>
            </w:r>
          </w:p>
        </w:tc>
        <w:tc>
          <w:tcPr>
            <w:tcW w:w="3401" w:type="dxa"/>
            <w:tcBorders>
              <w:top w:val="single" w:sz="6" w:space="0" w:color="000000"/>
              <w:left w:val="single" w:sz="6" w:space="0" w:color="000000"/>
              <w:bottom w:val="single" w:sz="6" w:space="0" w:color="000000"/>
              <w:right w:val="single" w:sz="6" w:space="0" w:color="000000"/>
            </w:tcBorders>
            <w:hideMark/>
          </w:tcPr>
          <w:p w14:paraId="390BA890" w14:textId="77777777" w:rsidR="0018561E" w:rsidRPr="0018561E" w:rsidRDefault="0018561E" w:rsidP="0018561E">
            <w:pPr>
              <w:rPr>
                <w:rFonts w:asciiTheme="minorHAnsi" w:hAnsiTheme="minorHAnsi" w:cstheme="minorHAnsi"/>
              </w:rPr>
            </w:pPr>
            <w:r w:rsidRPr="0018561E">
              <w:rPr>
                <w:rFonts w:asciiTheme="minorHAnsi" w:hAnsiTheme="minorHAnsi" w:cstheme="minorHAnsi"/>
              </w:rPr>
              <w:t>5 (dagbesteding) </w:t>
            </w:r>
          </w:p>
        </w:tc>
        <w:tc>
          <w:tcPr>
            <w:tcW w:w="1445" w:type="dxa"/>
            <w:tcBorders>
              <w:top w:val="single" w:sz="6" w:space="0" w:color="000000"/>
              <w:left w:val="single" w:sz="6" w:space="0" w:color="000000"/>
              <w:bottom w:val="single" w:sz="6" w:space="0" w:color="000000"/>
              <w:right w:val="single" w:sz="6" w:space="0" w:color="000000"/>
            </w:tcBorders>
            <w:hideMark/>
          </w:tcPr>
          <w:p w14:paraId="0F4E81D8" w14:textId="77777777" w:rsidR="0018561E" w:rsidRPr="0018561E" w:rsidRDefault="0018561E" w:rsidP="0018561E">
            <w:pPr>
              <w:rPr>
                <w:rFonts w:asciiTheme="minorHAnsi" w:hAnsiTheme="minorHAnsi" w:cstheme="minorHAnsi"/>
              </w:rPr>
            </w:pPr>
            <w:r w:rsidRPr="0018561E">
              <w:rPr>
                <w:rFonts w:asciiTheme="minorHAnsi" w:hAnsiTheme="minorHAnsi" w:cstheme="minorHAnsi"/>
              </w:rPr>
              <w:t> </w:t>
            </w:r>
          </w:p>
        </w:tc>
      </w:tr>
      <w:tr w:rsidR="0018561E" w:rsidRPr="0018561E" w14:paraId="61645A26" w14:textId="77777777" w:rsidTr="0018561E">
        <w:trPr>
          <w:trHeight w:val="281"/>
        </w:trPr>
        <w:tc>
          <w:tcPr>
            <w:tcW w:w="1923" w:type="dxa"/>
            <w:tcBorders>
              <w:top w:val="single" w:sz="6" w:space="0" w:color="000000"/>
              <w:left w:val="single" w:sz="6" w:space="0" w:color="000000"/>
              <w:bottom w:val="single" w:sz="6" w:space="0" w:color="000000"/>
              <w:right w:val="single" w:sz="6" w:space="0" w:color="000000"/>
            </w:tcBorders>
            <w:hideMark/>
          </w:tcPr>
          <w:p w14:paraId="64ABA370" w14:textId="77777777" w:rsidR="0018561E" w:rsidRPr="0018561E" w:rsidRDefault="0018561E" w:rsidP="0018561E">
            <w:pPr>
              <w:rPr>
                <w:rFonts w:asciiTheme="minorHAnsi" w:hAnsiTheme="minorHAnsi" w:cstheme="minorHAnsi"/>
              </w:rPr>
            </w:pPr>
            <w:r w:rsidRPr="0018561E">
              <w:rPr>
                <w:rFonts w:asciiTheme="minorHAnsi" w:hAnsiTheme="minorHAnsi" w:cstheme="minorHAnsi"/>
              </w:rPr>
              <w:t> </w:t>
            </w:r>
          </w:p>
        </w:tc>
        <w:tc>
          <w:tcPr>
            <w:tcW w:w="2120" w:type="dxa"/>
            <w:tcBorders>
              <w:top w:val="single" w:sz="6" w:space="0" w:color="000000"/>
              <w:left w:val="single" w:sz="6" w:space="0" w:color="000000"/>
              <w:bottom w:val="single" w:sz="6" w:space="0" w:color="000000"/>
              <w:right w:val="single" w:sz="6" w:space="0" w:color="000000"/>
            </w:tcBorders>
            <w:hideMark/>
          </w:tcPr>
          <w:p w14:paraId="27A9E1FF" w14:textId="77777777" w:rsidR="0018561E" w:rsidRPr="0018561E" w:rsidRDefault="0018561E" w:rsidP="0018561E">
            <w:pPr>
              <w:rPr>
                <w:rFonts w:asciiTheme="minorHAnsi" w:hAnsiTheme="minorHAnsi" w:cstheme="minorHAnsi"/>
              </w:rPr>
            </w:pPr>
            <w:r w:rsidRPr="0018561E">
              <w:rPr>
                <w:rFonts w:asciiTheme="minorHAnsi" w:hAnsiTheme="minorHAnsi" w:cstheme="minorHAnsi"/>
              </w:rPr>
              <w:t> </w:t>
            </w:r>
          </w:p>
        </w:tc>
        <w:tc>
          <w:tcPr>
            <w:tcW w:w="3401" w:type="dxa"/>
            <w:tcBorders>
              <w:top w:val="single" w:sz="6" w:space="0" w:color="000000"/>
              <w:left w:val="single" w:sz="6" w:space="0" w:color="000000"/>
              <w:bottom w:val="single" w:sz="6" w:space="0" w:color="000000"/>
              <w:right w:val="single" w:sz="6" w:space="0" w:color="000000"/>
            </w:tcBorders>
            <w:hideMark/>
          </w:tcPr>
          <w:p w14:paraId="3B4FB31A" w14:textId="77777777" w:rsidR="0018561E" w:rsidRPr="0018561E" w:rsidRDefault="0018561E" w:rsidP="0018561E">
            <w:pPr>
              <w:rPr>
                <w:rFonts w:asciiTheme="minorHAnsi" w:hAnsiTheme="minorHAnsi" w:cstheme="minorHAnsi"/>
              </w:rPr>
            </w:pPr>
            <w:r w:rsidRPr="0018561E">
              <w:rPr>
                <w:rFonts w:asciiTheme="minorHAnsi" w:hAnsiTheme="minorHAnsi" w:cstheme="minorHAnsi"/>
              </w:rPr>
              <w:t> </w:t>
            </w:r>
          </w:p>
        </w:tc>
        <w:tc>
          <w:tcPr>
            <w:tcW w:w="1445" w:type="dxa"/>
            <w:tcBorders>
              <w:top w:val="single" w:sz="6" w:space="0" w:color="000000"/>
              <w:left w:val="single" w:sz="6" w:space="0" w:color="000000"/>
              <w:bottom w:val="single" w:sz="6" w:space="0" w:color="000000"/>
              <w:right w:val="single" w:sz="6" w:space="0" w:color="000000"/>
            </w:tcBorders>
            <w:hideMark/>
          </w:tcPr>
          <w:p w14:paraId="7B96C083" w14:textId="77777777" w:rsidR="0018561E" w:rsidRPr="0018561E" w:rsidRDefault="0018561E" w:rsidP="0018561E">
            <w:pPr>
              <w:rPr>
                <w:rFonts w:asciiTheme="minorHAnsi" w:hAnsiTheme="minorHAnsi" w:cstheme="minorHAnsi"/>
              </w:rPr>
            </w:pPr>
            <w:r w:rsidRPr="0018561E">
              <w:rPr>
                <w:rFonts w:asciiTheme="minorHAnsi" w:hAnsiTheme="minorHAnsi" w:cstheme="minorHAnsi"/>
              </w:rPr>
              <w:t>23 </w:t>
            </w:r>
          </w:p>
        </w:tc>
      </w:tr>
    </w:tbl>
    <w:p w14:paraId="6741E348" w14:textId="14ACABEE" w:rsidR="0018561E" w:rsidRDefault="0018561E" w:rsidP="0018561E">
      <w:pPr>
        <w:rPr>
          <w:rFonts w:asciiTheme="minorHAnsi" w:hAnsiTheme="minorHAnsi" w:cstheme="minorHAnsi"/>
        </w:rPr>
      </w:pPr>
      <w:r>
        <w:rPr>
          <w:rFonts w:asciiTheme="minorHAnsi" w:hAnsiTheme="minorHAnsi" w:cstheme="minorHAnsi"/>
        </w:rPr>
        <w:br/>
      </w:r>
      <w:r w:rsidRPr="0018561E">
        <w:rPr>
          <w:rFonts w:asciiTheme="minorHAnsi" w:hAnsiTheme="minorHAnsi" w:cstheme="minorHAnsi"/>
        </w:rPr>
        <w:t xml:space="preserve">Acht cliënten </w:t>
      </w:r>
      <w:r w:rsidR="008A3F66">
        <w:rPr>
          <w:rFonts w:asciiTheme="minorHAnsi" w:hAnsiTheme="minorHAnsi" w:cstheme="minorHAnsi"/>
        </w:rPr>
        <w:t xml:space="preserve">van De Hoop </w:t>
      </w:r>
      <w:r w:rsidRPr="0018561E">
        <w:rPr>
          <w:rFonts w:asciiTheme="minorHAnsi" w:hAnsiTheme="minorHAnsi" w:cstheme="minorHAnsi"/>
        </w:rPr>
        <w:t>hadden zowel een ZPM-FZ als een ZZP/EP-traject. In totaal waren er 23 cliënten in behandeling en/of begeleiding op 31 december 2025. In verhouding t.o.v. de curatieve zorg die bekostigd wordt vanuit de Zorgverzekeringswet is dit slechts een klein percentage.  </w:t>
      </w:r>
    </w:p>
    <w:p w14:paraId="0F2AFF4C" w14:textId="77777777" w:rsidR="0018561E" w:rsidRPr="0018561E" w:rsidRDefault="0018561E" w:rsidP="0018561E">
      <w:pPr>
        <w:rPr>
          <w:rFonts w:asciiTheme="minorHAnsi" w:hAnsiTheme="minorHAnsi" w:cstheme="minorHAnsi"/>
        </w:rPr>
      </w:pPr>
    </w:p>
    <w:p w14:paraId="10CE7BD5" w14:textId="6F3124CC" w:rsidR="0018561E" w:rsidRPr="0018561E" w:rsidRDefault="0018561E" w:rsidP="0018561E">
      <w:pPr>
        <w:rPr>
          <w:rFonts w:asciiTheme="minorHAnsi" w:hAnsiTheme="minorHAnsi" w:cstheme="minorHAnsi"/>
          <w:sz w:val="28"/>
          <w:szCs w:val="28"/>
        </w:rPr>
      </w:pPr>
      <w:r w:rsidRPr="0018561E">
        <w:rPr>
          <w:rFonts w:asciiTheme="minorHAnsi" w:hAnsiTheme="minorHAnsi" w:cstheme="minorHAnsi"/>
          <w:b/>
          <w:bCs/>
          <w:sz w:val="28"/>
          <w:szCs w:val="28"/>
        </w:rPr>
        <w:t>4. Samenvatting behaalde resultaten en huidige stand van zaken</w:t>
      </w:r>
      <w:r w:rsidRPr="0018561E">
        <w:rPr>
          <w:rFonts w:asciiTheme="minorHAnsi" w:hAnsiTheme="minorHAnsi" w:cstheme="minorHAnsi"/>
          <w:sz w:val="28"/>
          <w:szCs w:val="28"/>
        </w:rPr>
        <w:t> </w:t>
      </w:r>
      <w:r>
        <w:rPr>
          <w:rFonts w:asciiTheme="minorHAnsi" w:hAnsiTheme="minorHAnsi" w:cstheme="minorHAnsi"/>
          <w:sz w:val="28"/>
          <w:szCs w:val="28"/>
        </w:rPr>
        <w:br/>
      </w:r>
      <w:r w:rsidRPr="0018561E">
        <w:rPr>
          <w:rFonts w:asciiTheme="minorHAnsi" w:hAnsiTheme="minorHAnsi" w:cstheme="minorHAnsi"/>
        </w:rPr>
        <w:t>Het Kwaliteitskader FZ fungeert als een paraplu waaronder alle ontwikkelingen van de afgelopen jaren op het gebied van kwaliteitsverbetering een plek hebben gekregen. Het brengt houvast en eenduidigheid binnen het forensische werkveld voor zorgaanbieders, zorgprofessionals, cliënten en hun naasten en Diens Justitiële Inrichtingen (DJI). Zo weten cliënten welke verwachtingen ze mogen hebben en instellingen en zorgprofessionals wat herstelgerichte en persoonsgebonden zorg is. Alle partijen in de forensische sector werken mee aan de ontwikkeling, praktische uitwerking en implementatie van dit kader. Het is de bedoeling dat de sector eind 2028 volledig werkt volgens het kader. Het Kwaliteitskader Forensische Zorg is op 1 oktober 2022 opgenomen in het kwaliteitsregister van het Zorginstituut Nederland. Daarmee is het een afgesproken norm binnen de sector. </w:t>
      </w:r>
    </w:p>
    <w:p w14:paraId="7EF8BCCA" w14:textId="16CFA139" w:rsidR="0018561E" w:rsidRPr="0018561E" w:rsidRDefault="0018561E" w:rsidP="0018561E">
      <w:pPr>
        <w:rPr>
          <w:rFonts w:asciiTheme="minorHAnsi" w:hAnsiTheme="minorHAnsi" w:cstheme="minorHAnsi"/>
        </w:rPr>
      </w:pPr>
      <w:r w:rsidRPr="0018561E">
        <w:rPr>
          <w:rFonts w:asciiTheme="minorHAnsi" w:hAnsiTheme="minorHAnsi" w:cstheme="minorHAnsi"/>
        </w:rPr>
        <w:t>Het Kwaliteitskader Forensische Zorg bestaat uit 5 pijlers: </w:t>
      </w:r>
      <w:r>
        <w:rPr>
          <w:rFonts w:asciiTheme="minorHAnsi" w:hAnsiTheme="minorHAnsi" w:cstheme="minorHAnsi"/>
        </w:rPr>
        <w:br/>
        <w:t xml:space="preserve">1. </w:t>
      </w:r>
      <w:r w:rsidRPr="0018561E">
        <w:rPr>
          <w:rFonts w:asciiTheme="minorHAnsi" w:hAnsiTheme="minorHAnsi" w:cstheme="minorHAnsi"/>
        </w:rPr>
        <w:t>Veiligheid en persoonsgerichte zorg</w:t>
      </w:r>
      <w:r>
        <w:rPr>
          <w:rFonts w:asciiTheme="minorHAnsi" w:hAnsiTheme="minorHAnsi" w:cstheme="minorHAnsi"/>
        </w:rPr>
        <w:br/>
        <w:t xml:space="preserve">2. </w:t>
      </w:r>
      <w:r w:rsidRPr="0018561E">
        <w:rPr>
          <w:rFonts w:asciiTheme="minorHAnsi" w:hAnsiTheme="minorHAnsi" w:cstheme="minorHAnsi"/>
        </w:rPr>
        <w:t>Forensisch vakmanschap</w:t>
      </w:r>
      <w:r>
        <w:rPr>
          <w:rFonts w:asciiTheme="minorHAnsi" w:hAnsiTheme="minorHAnsi" w:cstheme="minorHAnsi"/>
        </w:rPr>
        <w:br/>
        <w:t xml:space="preserve">3. </w:t>
      </w:r>
      <w:r w:rsidRPr="0018561E">
        <w:rPr>
          <w:rFonts w:asciiTheme="minorHAnsi" w:hAnsiTheme="minorHAnsi" w:cstheme="minorHAnsi"/>
        </w:rPr>
        <w:t>Organisatie van zorg</w:t>
      </w:r>
      <w:r>
        <w:rPr>
          <w:rFonts w:asciiTheme="minorHAnsi" w:hAnsiTheme="minorHAnsi" w:cstheme="minorHAnsi"/>
        </w:rPr>
        <w:br/>
        <w:t xml:space="preserve">4. </w:t>
      </w:r>
      <w:r w:rsidRPr="0018561E">
        <w:rPr>
          <w:rFonts w:asciiTheme="minorHAnsi" w:hAnsiTheme="minorHAnsi" w:cstheme="minorHAnsi"/>
        </w:rPr>
        <w:t>Samenwerken</w:t>
      </w:r>
      <w:r>
        <w:rPr>
          <w:rFonts w:asciiTheme="minorHAnsi" w:hAnsiTheme="minorHAnsi" w:cstheme="minorHAnsi"/>
        </w:rPr>
        <w:br/>
        <w:t xml:space="preserve">5. </w:t>
      </w:r>
      <w:r w:rsidRPr="0018561E">
        <w:rPr>
          <w:rFonts w:asciiTheme="minorHAnsi" w:hAnsiTheme="minorHAnsi" w:cstheme="minorHAnsi"/>
        </w:rPr>
        <w:t>Informeren over resultaten </w:t>
      </w:r>
    </w:p>
    <w:p w14:paraId="00618019" w14:textId="1B190427" w:rsidR="0018561E" w:rsidRPr="0018561E" w:rsidRDefault="0018561E" w:rsidP="0018561E">
      <w:pPr>
        <w:rPr>
          <w:rFonts w:asciiTheme="minorHAnsi" w:hAnsiTheme="minorHAnsi" w:cstheme="minorHAnsi"/>
        </w:rPr>
      </w:pPr>
      <w:r w:rsidRPr="0018561E">
        <w:rPr>
          <w:rFonts w:asciiTheme="minorHAnsi" w:hAnsiTheme="minorHAnsi" w:cstheme="minorHAnsi"/>
        </w:rPr>
        <w:t>Voor de pijlers 1 t/m 4 geven we in dit kwaliteitsverslag een samenvatting van de stand van zaken over 2025 en beschrijven we de ontwikkelpunten voor 2026. Vervolgens worden de prestatie-indicatoren voor de verschillende settingen toegelicht (onderdeel van pijler 5). In de implementatie van de kwaliteitsaspecten sluiten we in grote lijnen aan bij de planning van de thema's zoals DJI deze heeft opgesteld. Dat betekent dat we ons in 2025 gericht hebben op de thema’s Herstelgerichte zorg, Risico-gestuurde behandeling/begeleiding, Opleidingsplan en Lerende cyclus. Daarnaast continueren we de ontwikkelingen die we in de achterliggende tijd al hebben ingezet, zoals het bevorderen van toeleiding en instroom van cliënten en het verbeteren van de samenwerking binnen de interne ketenzorg en met externe partners. </w:t>
      </w:r>
    </w:p>
    <w:p w14:paraId="0DD2718A" w14:textId="1A5EA861" w:rsidR="0018561E" w:rsidRPr="0018561E" w:rsidRDefault="0018561E" w:rsidP="0018561E">
      <w:pPr>
        <w:rPr>
          <w:rFonts w:asciiTheme="minorHAnsi" w:hAnsiTheme="minorHAnsi" w:cstheme="minorHAnsi"/>
        </w:rPr>
      </w:pPr>
      <w:r w:rsidRPr="0018561E">
        <w:rPr>
          <w:rFonts w:asciiTheme="minorHAnsi" w:hAnsiTheme="minorHAnsi" w:cstheme="minorHAnsi"/>
          <w:b/>
          <w:bCs/>
        </w:rPr>
        <w:t>Indicatie voor voortgang implementatie: </w:t>
      </w:r>
      <w:r w:rsidRPr="0018561E">
        <w:rPr>
          <w:rFonts w:asciiTheme="minorHAnsi" w:hAnsiTheme="minorHAnsi" w:cstheme="minorHAnsi"/>
        </w:rPr>
        <w:t> </w:t>
      </w:r>
      <w:r>
        <w:rPr>
          <w:rFonts w:asciiTheme="minorHAnsi" w:hAnsiTheme="minorHAnsi" w:cstheme="minorHAnsi"/>
        </w:rPr>
        <w:br/>
      </w:r>
      <w:r>
        <w:rPr>
          <w:noProof/>
        </w:rPr>
        <w:drawing>
          <wp:inline distT="0" distB="0" distL="0" distR="0" wp14:anchorId="4DA54C58" wp14:editId="1D3E53CF">
            <wp:extent cx="373673" cy="142875"/>
            <wp:effectExtent l="0" t="0" r="7620" b="0"/>
            <wp:docPr id="1884889744" name="Afbeelding 220" descr="1.400+ Groen Stoplicht Stockillustraties, royalty-free vector illustraties  en clipart - iStock | Rood stoplicht, Oranje stoplicht, Red traffic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descr="1.400+ Groen Stoplicht Stockillustraties, royalty-free vector illustraties  en clipart - iStock | Rood stoplicht, Oranje stoplicht, Red traffic ligh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898" cy="143343"/>
                    </a:xfrm>
                    <a:prstGeom prst="rect">
                      <a:avLst/>
                    </a:prstGeom>
                    <a:noFill/>
                    <a:ln>
                      <a:noFill/>
                    </a:ln>
                  </pic:spPr>
                </pic:pic>
              </a:graphicData>
            </a:graphic>
          </wp:inline>
        </w:drawing>
      </w:r>
      <w:r w:rsidRPr="0018561E">
        <w:rPr>
          <w:rFonts w:asciiTheme="minorHAnsi" w:hAnsiTheme="minorHAnsi" w:cstheme="minorHAnsi"/>
        </w:rPr>
        <w:t>Moet worden opgepakt </w:t>
      </w:r>
      <w:r>
        <w:rPr>
          <w:rFonts w:asciiTheme="minorHAnsi" w:hAnsiTheme="minorHAnsi" w:cstheme="minorHAnsi"/>
        </w:rPr>
        <w:br/>
      </w:r>
      <w:r>
        <w:rPr>
          <w:noProof/>
        </w:rPr>
        <w:drawing>
          <wp:inline distT="0" distB="0" distL="0" distR="0" wp14:anchorId="1676CFCB" wp14:editId="2FDB37F7">
            <wp:extent cx="333375" cy="133350"/>
            <wp:effectExtent l="0" t="0" r="9525" b="0"/>
            <wp:docPr id="196790120" name="Afbeelding 221" descr="1.400+ Groen Stoplicht Stockillustraties, royalty-free vector illustraties  en clipart - iStock | Rood stoplicht, Oranje stoplicht, Red traffic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descr="1.400+ Groen Stoplicht Stockillustraties, royalty-free vector illustraties  en clipart - iStock | Rood stoplicht, Oranje stoplicht, Red traffic ligh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 cy="133350"/>
                    </a:xfrm>
                    <a:prstGeom prst="rect">
                      <a:avLst/>
                    </a:prstGeom>
                    <a:noFill/>
                    <a:ln>
                      <a:noFill/>
                    </a:ln>
                  </pic:spPr>
                </pic:pic>
              </a:graphicData>
            </a:graphic>
          </wp:inline>
        </w:drawing>
      </w:r>
      <w:r w:rsidRPr="0018561E">
        <w:rPr>
          <w:rFonts w:asciiTheme="minorHAnsi" w:hAnsiTheme="minorHAnsi" w:cstheme="minorHAnsi"/>
        </w:rPr>
        <w:t>Mee bezig </w:t>
      </w:r>
      <w:r>
        <w:rPr>
          <w:rFonts w:asciiTheme="minorHAnsi" w:hAnsiTheme="minorHAnsi" w:cstheme="minorHAnsi"/>
        </w:rPr>
        <w:br/>
      </w:r>
      <w:r>
        <w:rPr>
          <w:noProof/>
        </w:rPr>
        <w:drawing>
          <wp:inline distT="0" distB="0" distL="0" distR="0" wp14:anchorId="40B959DF" wp14:editId="6900E09F">
            <wp:extent cx="300038" cy="133350"/>
            <wp:effectExtent l="0" t="0" r="5080" b="0"/>
            <wp:docPr id="1479217909" name="Afbeelding 223" descr="1.400+ Groen Stoplicht Stockillustraties, royalty-free vector illustraties  en clipart - iStock | Rood stoplicht, Oranje stoplicht, Red traffic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descr="1.400+ Groen Stoplicht Stockillustraties, royalty-free vector illustraties  en clipart - iStock | Rood stoplicht, Oranje stoplicht, Red traffic ligh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675" cy="133633"/>
                    </a:xfrm>
                    <a:prstGeom prst="rect">
                      <a:avLst/>
                    </a:prstGeom>
                    <a:noFill/>
                    <a:ln>
                      <a:noFill/>
                    </a:ln>
                  </pic:spPr>
                </pic:pic>
              </a:graphicData>
            </a:graphic>
          </wp:inline>
        </w:drawing>
      </w:r>
      <w:r>
        <w:rPr>
          <w:rFonts w:asciiTheme="minorHAnsi" w:hAnsiTheme="minorHAnsi" w:cstheme="minorHAnsi"/>
        </w:rPr>
        <w:t xml:space="preserve"> </w:t>
      </w:r>
      <w:r w:rsidRPr="0018561E">
        <w:rPr>
          <w:rFonts w:asciiTheme="minorHAnsi" w:hAnsiTheme="minorHAnsi" w:cstheme="minorHAnsi"/>
        </w:rPr>
        <w:t>Voldoet aan norm </w:t>
      </w:r>
    </w:p>
    <w:p w14:paraId="4E0B8957" w14:textId="23683B56" w:rsidR="007B43F4" w:rsidRPr="007B43F4" w:rsidRDefault="007B43F4" w:rsidP="007B43F4">
      <w:pPr>
        <w:rPr>
          <w:rFonts w:asciiTheme="minorHAnsi" w:hAnsiTheme="minorHAnsi" w:cstheme="minorHAnsi"/>
        </w:rPr>
      </w:pPr>
      <w:r w:rsidRPr="007B43F4">
        <w:rPr>
          <w:rFonts w:asciiTheme="minorHAnsi" w:hAnsiTheme="minorHAnsi" w:cstheme="minorHAnsi"/>
          <w:b/>
          <w:bCs/>
          <w:sz w:val="24"/>
          <w:szCs w:val="24"/>
        </w:rPr>
        <w:lastRenderedPageBreak/>
        <w:t>4.1 Pijler 1: Veiligheid en persoonsgerichte zorg</w:t>
      </w:r>
      <w:r w:rsidRPr="007B43F4">
        <w:rPr>
          <w:rFonts w:asciiTheme="minorHAnsi" w:hAnsiTheme="minorHAnsi" w:cstheme="minorHAnsi"/>
          <w:sz w:val="24"/>
          <w:szCs w:val="24"/>
        </w:rPr>
        <w:t> </w:t>
      </w:r>
      <w:r>
        <w:rPr>
          <w:rFonts w:asciiTheme="minorHAnsi" w:hAnsiTheme="minorHAnsi" w:cstheme="minorHAnsi"/>
        </w:rPr>
        <w:br/>
      </w:r>
      <w:r w:rsidRPr="007B43F4">
        <w:rPr>
          <w:rFonts w:asciiTheme="minorHAnsi" w:hAnsiTheme="minorHAnsi" w:cstheme="minorHAnsi"/>
        </w:rPr>
        <w:t>Onder de pijler Veiligheid en persoonsgerichte zorg vallen de thema's Risico-gestuurde behandeling/begeleiding, Veiligheidsmanagement, Herstelgerichte zorg en het Betrekken van de cliënt en diens netwerk.  </w:t>
      </w:r>
    </w:p>
    <w:p w14:paraId="7EE8B3BC" w14:textId="37519968" w:rsidR="007B43F4" w:rsidRPr="007B43F4" w:rsidRDefault="007B43F4" w:rsidP="007B43F4">
      <w:pPr>
        <w:rPr>
          <w:rFonts w:asciiTheme="minorHAnsi" w:hAnsiTheme="minorHAnsi" w:cstheme="minorHAnsi"/>
        </w:rPr>
      </w:pPr>
      <w:r w:rsidRPr="007B43F4">
        <w:rPr>
          <w:rFonts w:asciiTheme="minorHAnsi" w:hAnsiTheme="minorHAnsi" w:cstheme="minorHAnsi"/>
          <w:b/>
          <w:bCs/>
        </w:rPr>
        <w:t>Risico-gestuurde behandeling/begeleiding </w:t>
      </w:r>
      <w:r w:rsidRPr="007B43F4">
        <w:rPr>
          <w:rFonts w:asciiTheme="minorHAnsi" w:hAnsiTheme="minorHAnsi" w:cstheme="minorHAnsi"/>
          <w:noProof/>
        </w:rPr>
        <w:drawing>
          <wp:inline distT="0" distB="0" distL="0" distR="0" wp14:anchorId="090AB45B" wp14:editId="20CB7AA7">
            <wp:extent cx="333375" cy="133350"/>
            <wp:effectExtent l="0" t="0" r="9525" b="0"/>
            <wp:docPr id="802218457" name="Afbeelding 224" descr="1.400+ Groen Stoplicht Stockillustraties, royalty-free vector illustraties  en clipart - iStock | Rood stoplicht, Oranje stoplicht, Red traffic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descr="1.400+ Groen Stoplicht Stockillustraties, royalty-free vector illustraties  en clipart - iStock | Rood stoplicht, Oranje stoplicht, Red traffic ligh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 cy="133350"/>
                    </a:xfrm>
                    <a:prstGeom prst="rect">
                      <a:avLst/>
                    </a:prstGeom>
                    <a:noFill/>
                    <a:ln>
                      <a:noFill/>
                    </a:ln>
                  </pic:spPr>
                </pic:pic>
              </a:graphicData>
            </a:graphic>
          </wp:inline>
        </w:drawing>
      </w:r>
      <w:r w:rsidRPr="007B43F4">
        <w:rPr>
          <w:rFonts w:asciiTheme="minorHAnsi" w:hAnsiTheme="minorHAnsi" w:cstheme="minorHAnsi"/>
        </w:rPr>
        <w:t> </w:t>
      </w:r>
      <w:r>
        <w:rPr>
          <w:rFonts w:asciiTheme="minorHAnsi" w:hAnsiTheme="minorHAnsi" w:cstheme="minorHAnsi"/>
        </w:rPr>
        <w:br/>
      </w:r>
      <w:r w:rsidRPr="007B43F4">
        <w:rPr>
          <w:rFonts w:asciiTheme="minorHAnsi" w:hAnsiTheme="minorHAnsi" w:cstheme="minorHAnsi"/>
        </w:rPr>
        <w:t>De afgelopen jaren heeft het thema Risico-gestuurde behandeling op de polikliniek Dordrecht en in de kliniek van De Hoop nadrukkelijk aandacht gekregen. In de ambulante behandeling wordt de delict-analyse afgenomen bij cliënten. Bij de inzet van delict-analyse komen factoren naar voren die mede hebben geleid tot het delict, zoals middelengebruik of emotie-regulatieproblemen. Het behandelplan wordt mede opgesteld op basis van de uitkomsten van de delict-analyse.  </w:t>
      </w:r>
    </w:p>
    <w:p w14:paraId="40443BE4" w14:textId="30D49950" w:rsidR="007B43F4" w:rsidRPr="007B43F4" w:rsidRDefault="007B43F4" w:rsidP="007B43F4">
      <w:pPr>
        <w:rPr>
          <w:rFonts w:asciiTheme="minorHAnsi" w:hAnsiTheme="minorHAnsi" w:cstheme="minorHAnsi"/>
        </w:rPr>
      </w:pPr>
      <w:r w:rsidRPr="007B43F4">
        <w:rPr>
          <w:rFonts w:asciiTheme="minorHAnsi" w:hAnsiTheme="minorHAnsi" w:cstheme="minorHAnsi"/>
        </w:rPr>
        <w:t>Met erkende instrumenten zoals de Forensische Ambulante Risico Evaluatie (FARE) in de ambulante behandeling en Historisch Klinische Toekomstige – Revisie (HKT-R) bij de klinische behandeling wordt voor elke cliënt een inschatting gemaakt van het recidiverisico. Hieruit blijkt ook welke factoren invloed hebben op de vermindering van het recidive-risico. De uitkomsten van de risicotaxatie worden meegenomen in het opstellen van het individuele behandelplan en vormen de basis van het signaleringsplan en (waar van toepassing) het terugvalpreventieplan</w:t>
      </w:r>
      <w:r w:rsidR="008A3F66">
        <w:rPr>
          <w:rFonts w:asciiTheme="minorHAnsi" w:hAnsiTheme="minorHAnsi" w:cstheme="minorHAnsi"/>
        </w:rPr>
        <w:t>.</w:t>
      </w:r>
      <w:r w:rsidRPr="007B43F4">
        <w:rPr>
          <w:rFonts w:asciiTheme="minorHAnsi" w:hAnsiTheme="minorHAnsi" w:cstheme="minorHAnsi"/>
        </w:rPr>
        <w:t> In het najaar 2025 hebben alle ambulante behandelaren een training gevolgd voor de FARE. In 2026 komt een volgende versie van de FARE uit, waarna de betreffende behandelaren aanvullende scholing zullen volgen. In het MDO wordt besloten wanneer een behandeltraject afgeschaald dan wel opgeschaald dient te worden. Hierbij wordt, aansluitend bij het </w:t>
      </w:r>
      <w:proofErr w:type="spellStart"/>
      <w:r w:rsidRPr="007B43F4">
        <w:rPr>
          <w:rFonts w:asciiTheme="minorHAnsi" w:hAnsiTheme="minorHAnsi" w:cstheme="minorHAnsi"/>
        </w:rPr>
        <w:t>Good</w:t>
      </w:r>
      <w:proofErr w:type="spellEnd"/>
      <w:r w:rsidRPr="007B43F4">
        <w:rPr>
          <w:rFonts w:asciiTheme="minorHAnsi" w:hAnsiTheme="minorHAnsi" w:cstheme="minorHAnsi"/>
        </w:rPr>
        <w:t> </w:t>
      </w:r>
      <w:proofErr w:type="spellStart"/>
      <w:r w:rsidRPr="007B43F4">
        <w:rPr>
          <w:rFonts w:asciiTheme="minorHAnsi" w:hAnsiTheme="minorHAnsi" w:cstheme="minorHAnsi"/>
        </w:rPr>
        <w:t>Lives</w:t>
      </w:r>
      <w:proofErr w:type="spellEnd"/>
      <w:r w:rsidRPr="007B43F4">
        <w:rPr>
          <w:rFonts w:asciiTheme="minorHAnsi" w:hAnsiTheme="minorHAnsi" w:cstheme="minorHAnsi"/>
        </w:rPr>
        <w:t> Model, zoveel mogelijk gewerkt vanuit het principe van shared </w:t>
      </w:r>
      <w:proofErr w:type="spellStart"/>
      <w:r w:rsidRPr="007B43F4">
        <w:rPr>
          <w:rFonts w:asciiTheme="minorHAnsi" w:hAnsiTheme="minorHAnsi" w:cstheme="minorHAnsi"/>
        </w:rPr>
        <w:t>decision</w:t>
      </w:r>
      <w:proofErr w:type="spellEnd"/>
      <w:r w:rsidRPr="007B43F4">
        <w:rPr>
          <w:rFonts w:asciiTheme="minorHAnsi" w:hAnsiTheme="minorHAnsi" w:cstheme="minorHAnsi"/>
        </w:rPr>
        <w:t> making. Momenteel speelt de voortgang van de behandeling en/of begeleiding en de bevindingen van het team nog een grote rol bij het op- en afschalen. Het risicomanagement moet daarin echter leidend zijn. Daarom zullen zowel de risicotaxatie als delict-analyse in 2026 verder geborgd gaan worden. </w:t>
      </w:r>
    </w:p>
    <w:p w14:paraId="50B7B000" w14:textId="16BD1ADB" w:rsidR="007B43F4" w:rsidRPr="007B43F4" w:rsidRDefault="007B43F4" w:rsidP="007B43F4">
      <w:pPr>
        <w:rPr>
          <w:rFonts w:asciiTheme="minorHAnsi" w:hAnsiTheme="minorHAnsi" w:cstheme="minorHAnsi"/>
        </w:rPr>
      </w:pPr>
      <w:r w:rsidRPr="007B43F4">
        <w:rPr>
          <w:rFonts w:asciiTheme="minorHAnsi" w:hAnsiTheme="minorHAnsi" w:cstheme="minorHAnsi"/>
        </w:rPr>
        <w:t>Binnen de ambulante behandeling bij De Brug wordt ook de FARE afgenomen. Er wordt gewerkt aan het integraal meenemen van de uitkomsten van verschillende vragenlijsten in het behandel- en/of begeleidingsplan. De FARE is hier onderdeel van. </w:t>
      </w:r>
      <w:r w:rsidR="002E584A">
        <w:rPr>
          <w:rFonts w:asciiTheme="minorHAnsi" w:hAnsiTheme="minorHAnsi" w:cstheme="minorHAnsi"/>
        </w:rPr>
        <w:t xml:space="preserve">Een aantal </w:t>
      </w:r>
      <w:r w:rsidR="00301164">
        <w:rPr>
          <w:rFonts w:asciiTheme="minorHAnsi" w:hAnsiTheme="minorHAnsi" w:cstheme="minorHAnsi"/>
        </w:rPr>
        <w:t>m</w:t>
      </w:r>
      <w:r w:rsidRPr="007B43F4">
        <w:rPr>
          <w:rFonts w:asciiTheme="minorHAnsi" w:hAnsiTheme="minorHAnsi" w:cstheme="minorHAnsi"/>
        </w:rPr>
        <w:t>edewerkers van De Brug zullen in 2026 ook aansluiten bij scholing voor de nieuwe FARE bij De Hoop. De delict-analyse is niet geïmplementeerd bij De Brug. Dit wordt in de begeleidingssetting als een te zwaar instrument gezien. </w:t>
      </w:r>
    </w:p>
    <w:p w14:paraId="31E7BDB4" w14:textId="6A1F1195" w:rsidR="007B43F4" w:rsidRPr="007B43F4" w:rsidRDefault="007B43F4" w:rsidP="007B43F4">
      <w:pPr>
        <w:rPr>
          <w:rFonts w:asciiTheme="minorHAnsi" w:hAnsiTheme="minorHAnsi" w:cstheme="minorHAnsi"/>
        </w:rPr>
      </w:pPr>
      <w:r w:rsidRPr="007B43F4">
        <w:rPr>
          <w:rFonts w:asciiTheme="minorHAnsi" w:hAnsiTheme="minorHAnsi" w:cstheme="minorHAnsi"/>
        </w:rPr>
        <w:t>In de loop van 2025 willen we aansluiten bij de landelijke ontwikkelingen met betrekking tot risicotaxatie-instrumenten voor de doelgroepen waarvoor deze nu nog niet beschikbaar zijn, zoals beschermd wonen en ambulante begeleiding. In 2024 is binnen het landelijke programma Kwaliteitskader Forensische Zorg (KFZ) het </w:t>
      </w:r>
      <w:proofErr w:type="spellStart"/>
      <w:r w:rsidRPr="007B43F4">
        <w:rPr>
          <w:rFonts w:asciiTheme="minorHAnsi" w:hAnsiTheme="minorHAnsi" w:cstheme="minorHAnsi"/>
        </w:rPr>
        <w:t>BeRK</w:t>
      </w:r>
      <w:proofErr w:type="spellEnd"/>
      <w:r w:rsidRPr="007B43F4">
        <w:rPr>
          <w:rFonts w:asciiTheme="minorHAnsi" w:hAnsiTheme="minorHAnsi" w:cstheme="minorHAnsi"/>
        </w:rPr>
        <w:t>-gesprek ontwikkeld. </w:t>
      </w:r>
      <w:proofErr w:type="spellStart"/>
      <w:r w:rsidRPr="007B43F4">
        <w:rPr>
          <w:rFonts w:asciiTheme="minorHAnsi" w:hAnsiTheme="minorHAnsi" w:cstheme="minorHAnsi"/>
        </w:rPr>
        <w:t>BeRK</w:t>
      </w:r>
      <w:proofErr w:type="spellEnd"/>
      <w:r w:rsidRPr="007B43F4">
        <w:rPr>
          <w:rFonts w:asciiTheme="minorHAnsi" w:hAnsiTheme="minorHAnsi" w:cstheme="minorHAnsi"/>
        </w:rPr>
        <w:t> staat voor behoeften, risico’s en krachten. Dit is een risico- en behoefte-inventarisatietool speciaal voor gebruik in BW/MO setting. Het </w:t>
      </w:r>
      <w:proofErr w:type="spellStart"/>
      <w:r w:rsidRPr="007B43F4">
        <w:rPr>
          <w:rFonts w:asciiTheme="minorHAnsi" w:hAnsiTheme="minorHAnsi" w:cstheme="minorHAnsi"/>
        </w:rPr>
        <w:t>BeRK</w:t>
      </w:r>
      <w:proofErr w:type="spellEnd"/>
      <w:r w:rsidRPr="007B43F4">
        <w:rPr>
          <w:rFonts w:asciiTheme="minorHAnsi" w:hAnsiTheme="minorHAnsi" w:cstheme="minorHAnsi"/>
        </w:rPr>
        <w:t>-gesprek is een gespreksmethode om als begeleider samen met de cliënt behoeften, risico’s en krachten te inventariseren en hier een concrete vertaling aan te kunnen geven in de dagelijkse begeleiding en bejegening in de BW/MO. De BW-afdeling van De Hoop in Dordrecht heeft meegedaan aan de pilot voor het </w:t>
      </w:r>
      <w:proofErr w:type="spellStart"/>
      <w:r w:rsidRPr="007B43F4">
        <w:rPr>
          <w:rFonts w:asciiTheme="minorHAnsi" w:hAnsiTheme="minorHAnsi" w:cstheme="minorHAnsi"/>
        </w:rPr>
        <w:t>BeRK</w:t>
      </w:r>
      <w:proofErr w:type="spellEnd"/>
      <w:r w:rsidRPr="007B43F4">
        <w:rPr>
          <w:rFonts w:asciiTheme="minorHAnsi" w:hAnsiTheme="minorHAnsi" w:cstheme="minorHAnsi"/>
        </w:rPr>
        <w:t>-gesprek. De ervaringen hiermee zijn positief. Momenteel zijn de tools van het </w:t>
      </w:r>
      <w:proofErr w:type="spellStart"/>
      <w:r w:rsidRPr="007B43F4">
        <w:rPr>
          <w:rFonts w:asciiTheme="minorHAnsi" w:hAnsiTheme="minorHAnsi" w:cstheme="minorHAnsi"/>
        </w:rPr>
        <w:t>BeRK</w:t>
      </w:r>
      <w:proofErr w:type="spellEnd"/>
      <w:r w:rsidRPr="007B43F4">
        <w:rPr>
          <w:rFonts w:asciiTheme="minorHAnsi" w:hAnsiTheme="minorHAnsi" w:cstheme="minorHAnsi"/>
        </w:rPr>
        <w:t>-instrument nog niet formeel beschikbaar . Binnen de organisatie wordt gewerkt aan een bruikbaar instrument in de vorm van een passende risicotaxatie, gebaseerd op de </w:t>
      </w:r>
      <w:proofErr w:type="spellStart"/>
      <w:r w:rsidRPr="007B43F4">
        <w:rPr>
          <w:rFonts w:asciiTheme="minorHAnsi" w:hAnsiTheme="minorHAnsi" w:cstheme="minorHAnsi"/>
        </w:rPr>
        <w:t>BeRK</w:t>
      </w:r>
      <w:proofErr w:type="spellEnd"/>
      <w:r w:rsidRPr="007B43F4">
        <w:rPr>
          <w:rFonts w:asciiTheme="minorHAnsi" w:hAnsiTheme="minorHAnsi" w:cstheme="minorHAnsi"/>
        </w:rPr>
        <w:t>. Dit instrument zal jaarlijks ingezet worden, waarbij risicofactoren actief uitgevraagd worden en geborgd worden in het begeleidingsplan, signaleringsplan en/of terugvalpreventieplan. Deze worden periodiek geëvalueerd in teamverband. </w:t>
      </w:r>
    </w:p>
    <w:p w14:paraId="475850C2" w14:textId="77777777" w:rsidR="00377E25" w:rsidRDefault="00377E25" w:rsidP="0018561E">
      <w:pPr>
        <w:rPr>
          <w:rFonts w:asciiTheme="minorHAnsi" w:hAnsiTheme="minorHAnsi" w:cstheme="minorHAnsi"/>
        </w:rPr>
      </w:pPr>
    </w:p>
    <w:p w14:paraId="4306ED5B" w14:textId="2A7C9099" w:rsidR="00377E25" w:rsidRPr="00377E25" w:rsidRDefault="00377E25" w:rsidP="00377E25">
      <w:pPr>
        <w:rPr>
          <w:rFonts w:asciiTheme="minorHAnsi" w:hAnsiTheme="minorHAnsi" w:cstheme="minorHAnsi"/>
        </w:rPr>
      </w:pPr>
      <w:r w:rsidRPr="00377E25">
        <w:rPr>
          <w:rFonts w:asciiTheme="minorHAnsi" w:hAnsiTheme="minorHAnsi" w:cstheme="minorHAnsi"/>
          <w:b/>
          <w:bCs/>
        </w:rPr>
        <w:lastRenderedPageBreak/>
        <w:t>Veiligheidsmanagement </w:t>
      </w:r>
      <w:r w:rsidRPr="00377E25">
        <w:rPr>
          <w:rFonts w:asciiTheme="minorHAnsi" w:hAnsiTheme="minorHAnsi" w:cstheme="minorHAnsi"/>
          <w:noProof/>
        </w:rPr>
        <w:drawing>
          <wp:inline distT="0" distB="0" distL="0" distR="0" wp14:anchorId="66D7C92D" wp14:editId="74CF47AF">
            <wp:extent cx="342900" cy="152400"/>
            <wp:effectExtent l="0" t="0" r="0" b="0"/>
            <wp:docPr id="725991181" name="Afbeelding 226" descr="1.400+ Groen Stoplicht Stockillustraties, royalty-free vector illustraties  en clipart - iStock | Rood stoplicht, Oranje stoplicht, Red traffic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descr="1.400+ Groen Stoplicht Stockillustraties, royalty-free vector illustraties  en clipart - iStock | Rood stoplicht, Oranje stoplicht, Red traffic ligh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 cy="152400"/>
                    </a:xfrm>
                    <a:prstGeom prst="rect">
                      <a:avLst/>
                    </a:prstGeom>
                    <a:noFill/>
                    <a:ln>
                      <a:noFill/>
                    </a:ln>
                  </pic:spPr>
                </pic:pic>
              </a:graphicData>
            </a:graphic>
          </wp:inline>
        </w:drawing>
      </w:r>
      <w:r w:rsidRPr="00377E25">
        <w:rPr>
          <w:rFonts w:asciiTheme="minorHAnsi" w:hAnsiTheme="minorHAnsi" w:cstheme="minorHAnsi"/>
        </w:rPr>
        <w:t> </w:t>
      </w:r>
      <w:r>
        <w:rPr>
          <w:rFonts w:asciiTheme="minorHAnsi" w:hAnsiTheme="minorHAnsi" w:cstheme="minorHAnsi"/>
        </w:rPr>
        <w:br/>
      </w:r>
      <w:proofErr w:type="spellStart"/>
      <w:r w:rsidRPr="00377E25">
        <w:rPr>
          <w:rFonts w:asciiTheme="minorHAnsi" w:hAnsiTheme="minorHAnsi" w:cstheme="minorHAnsi"/>
        </w:rPr>
        <w:t>Veiligheidsmanagement</w:t>
      </w:r>
      <w:proofErr w:type="spellEnd"/>
      <w:r w:rsidRPr="00377E25">
        <w:rPr>
          <w:rFonts w:asciiTheme="minorHAnsi" w:hAnsiTheme="minorHAnsi" w:cstheme="minorHAnsi"/>
        </w:rPr>
        <w:t> gaat enerzijds om het identificeren, signaleren en beperken van risico’s op </w:t>
      </w:r>
      <w:proofErr w:type="spellStart"/>
      <w:r w:rsidRPr="00377E25">
        <w:rPr>
          <w:rFonts w:asciiTheme="minorHAnsi" w:hAnsiTheme="minorHAnsi" w:cstheme="minorHAnsi"/>
        </w:rPr>
        <w:t>delictgedrag</w:t>
      </w:r>
      <w:proofErr w:type="spellEnd"/>
      <w:r w:rsidRPr="00377E25">
        <w:rPr>
          <w:rFonts w:asciiTheme="minorHAnsi" w:hAnsiTheme="minorHAnsi" w:cstheme="minorHAnsi"/>
        </w:rPr>
        <w:t> bij een cliënt (risicomanagement). Het behandelplan/begeleidingsplan wordt samen met de cliënt opgesteld op basis van diagnostiek, risicotaxatie, eisen van de rechter of reclassering en in het geval van een ambulante behandeling ook op basis van de </w:t>
      </w:r>
      <w:proofErr w:type="spellStart"/>
      <w:r w:rsidRPr="00377E25">
        <w:rPr>
          <w:rFonts w:asciiTheme="minorHAnsi" w:hAnsiTheme="minorHAnsi" w:cstheme="minorHAnsi"/>
        </w:rPr>
        <w:t>delictanalyse</w:t>
      </w:r>
      <w:proofErr w:type="spellEnd"/>
      <w:r w:rsidRPr="00377E25">
        <w:rPr>
          <w:rFonts w:asciiTheme="minorHAnsi" w:hAnsiTheme="minorHAnsi" w:cstheme="minorHAnsi"/>
        </w:rPr>
        <w:t>. In het behandel- of begeleidingsplan is aandacht voor beschermende factoren en voor de persoonlijke behoeften, krachten en kwetsbaarheden van de cliënt. Behandelaren en begeleiders werken aan een veilige en betrouwbare professionele relatie met de cliënt, waarin de cliënt kritisch naar zichzelf leert kijken, risicofactoren leert herkennen en nieuw gedrag kan aanleren.  </w:t>
      </w:r>
    </w:p>
    <w:p w14:paraId="71AB1537" w14:textId="4DD2FCC5" w:rsidR="00377E25" w:rsidRPr="00377E25" w:rsidRDefault="00377E25" w:rsidP="00377E25">
      <w:pPr>
        <w:rPr>
          <w:rFonts w:asciiTheme="minorHAnsi" w:hAnsiTheme="minorHAnsi" w:cstheme="minorHAnsi"/>
        </w:rPr>
      </w:pPr>
      <w:r w:rsidRPr="00377E25">
        <w:rPr>
          <w:rFonts w:asciiTheme="minorHAnsi" w:hAnsiTheme="minorHAnsi" w:cstheme="minorHAnsi"/>
        </w:rPr>
        <w:t>Anderzijds is veiligheidsmanagement gericht op zorgdragen voor een veilig woon- en werk klimaat binnen een organisatie voor medewerkers, patiënten/cliënten en bezoekers. In dat kader is bij De Hoop enige jaren geleden een nieuw persoonsalarmeringssysteem in gebruik genomen. In 2025 is de polikliniek in Dordrecht verhuisd naar de hoofdlocatie. Daarbij hebben de ambulante behandelaren ook het persoonsalarmeringssysteem in gebruik genomen. Op de polikliniek is er onder alle bureaus een alarmknop bevestigd die gekoppeld is aan een alarmsysteem die via een app op de telefoons van alle betrokken collega's afgaat met vermelding van de locatie. Collega's zijn in deze werkwijze geïnstrueerd. Bovendien wordt de forensische ambulante zorg gegeven op de benedenverdieping, een brede gang waar verschillende medewerkers alle dagen werkzaam zijn. </w:t>
      </w:r>
    </w:p>
    <w:p w14:paraId="528617CD" w14:textId="26F85ED3" w:rsidR="00377E25" w:rsidRPr="00377E25" w:rsidRDefault="00377E25" w:rsidP="00377E25">
      <w:pPr>
        <w:rPr>
          <w:rFonts w:asciiTheme="minorHAnsi" w:hAnsiTheme="minorHAnsi" w:cstheme="minorHAnsi"/>
        </w:rPr>
      </w:pPr>
      <w:r w:rsidRPr="00377E25">
        <w:rPr>
          <w:rFonts w:asciiTheme="minorHAnsi" w:hAnsiTheme="minorHAnsi" w:cstheme="minorHAnsi"/>
        </w:rPr>
        <w:t>De ambulante behandelaren hebben een training gevolgd over hoe om te gaan met agressie op de werkvloer, als integraal onderdeel van de veiligheid op de polikliniek. In 2024 is een noodplan ontwikkeld met verschillende scenario’s hoe te handelen in crisissituaties. Verschillende medewerkers zijn in 2025 getraind in incident- en crisismanagement. Binnen het noodplan is aandacht voor de verschillende cliëntgroepen binnen De Hoop, waaronder forensische cliënten.   </w:t>
      </w:r>
    </w:p>
    <w:p w14:paraId="7D4C00DD" w14:textId="77777777" w:rsidR="00377E25" w:rsidRPr="00377E25" w:rsidRDefault="00377E25" w:rsidP="00377E25">
      <w:pPr>
        <w:rPr>
          <w:rFonts w:asciiTheme="minorHAnsi" w:hAnsiTheme="minorHAnsi" w:cstheme="minorHAnsi"/>
        </w:rPr>
      </w:pPr>
      <w:r w:rsidRPr="00377E25">
        <w:rPr>
          <w:rFonts w:asciiTheme="minorHAnsi" w:hAnsiTheme="minorHAnsi" w:cstheme="minorHAnsi"/>
        </w:rPr>
        <w:t>Bij De Brug volgen medewerkers regelmatig een training omgaan met agressie. Vanwege de kleinschaligheid heeft De Brug een eigen alarmeringssysteem met noodknoppen. Voor de verschillende locaties van De Brug is een bedrijfsnoodplan aanwezig.  </w:t>
      </w:r>
    </w:p>
    <w:p w14:paraId="6D3C991E" w14:textId="4F164D13" w:rsidR="00377E25" w:rsidRPr="00377E25" w:rsidRDefault="00377E25" w:rsidP="00377E25">
      <w:pPr>
        <w:rPr>
          <w:rFonts w:asciiTheme="minorHAnsi" w:hAnsiTheme="minorHAnsi" w:cstheme="minorHAnsi"/>
        </w:rPr>
      </w:pPr>
      <w:r w:rsidRPr="00377E25">
        <w:rPr>
          <w:rFonts w:asciiTheme="minorHAnsi" w:hAnsiTheme="minorHAnsi" w:cstheme="minorHAnsi"/>
        </w:rPr>
        <w:t> </w:t>
      </w:r>
      <w:r w:rsidRPr="00377E25">
        <w:rPr>
          <w:rFonts w:asciiTheme="minorHAnsi" w:hAnsiTheme="minorHAnsi" w:cstheme="minorHAnsi"/>
        </w:rPr>
        <w:br/>
      </w:r>
      <w:r w:rsidRPr="00377E25">
        <w:rPr>
          <w:rFonts w:asciiTheme="minorHAnsi" w:hAnsiTheme="minorHAnsi" w:cstheme="minorHAnsi"/>
          <w:b/>
          <w:bCs/>
        </w:rPr>
        <w:t>Herstelgerichte zorg  </w:t>
      </w:r>
      <w:r w:rsidRPr="00377E25">
        <w:rPr>
          <w:rFonts w:asciiTheme="minorHAnsi" w:hAnsiTheme="minorHAnsi" w:cstheme="minorHAnsi"/>
          <w:noProof/>
        </w:rPr>
        <w:drawing>
          <wp:inline distT="0" distB="0" distL="0" distR="0" wp14:anchorId="6DAE3911" wp14:editId="618632E0">
            <wp:extent cx="342900" cy="152400"/>
            <wp:effectExtent l="0" t="0" r="0" b="0"/>
            <wp:docPr id="545795626" name="Afbeelding 228" descr="1.400+ Groen Stoplicht Stockillustraties, royalty-free vector illustraties  en clipart - iStock | Rood stoplicht, Oranje stoplicht, Red traffic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descr="1.400+ Groen Stoplicht Stockillustraties, royalty-free vector illustraties  en clipart - iStock | Rood stoplicht, Oranje stoplicht, Red traffic ligh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 cy="152400"/>
                    </a:xfrm>
                    <a:prstGeom prst="rect">
                      <a:avLst/>
                    </a:prstGeom>
                    <a:noFill/>
                    <a:ln>
                      <a:noFill/>
                    </a:ln>
                  </pic:spPr>
                </pic:pic>
              </a:graphicData>
            </a:graphic>
          </wp:inline>
        </w:drawing>
      </w:r>
      <w:r w:rsidRPr="00377E25">
        <w:rPr>
          <w:rFonts w:asciiTheme="minorHAnsi" w:hAnsiTheme="minorHAnsi" w:cstheme="minorHAnsi"/>
          <w:b/>
          <w:bCs/>
        </w:rPr>
        <w:t>  </w:t>
      </w:r>
      <w:r w:rsidRPr="00377E25">
        <w:rPr>
          <w:rFonts w:asciiTheme="minorHAnsi" w:hAnsiTheme="minorHAnsi" w:cstheme="minorHAnsi"/>
        </w:rPr>
        <w:t> </w:t>
      </w:r>
      <w:r>
        <w:rPr>
          <w:rFonts w:asciiTheme="minorHAnsi" w:hAnsiTheme="minorHAnsi" w:cstheme="minorHAnsi"/>
        </w:rPr>
        <w:br/>
      </w:r>
      <w:r w:rsidRPr="00377E25">
        <w:rPr>
          <w:rFonts w:asciiTheme="minorHAnsi" w:hAnsiTheme="minorHAnsi" w:cstheme="minorHAnsi"/>
        </w:rPr>
        <w:t>In de forensische zorg bij De Hoop wordt gewerkt vanuit het </w:t>
      </w:r>
      <w:proofErr w:type="spellStart"/>
      <w:r w:rsidRPr="00377E25">
        <w:rPr>
          <w:rFonts w:asciiTheme="minorHAnsi" w:hAnsiTheme="minorHAnsi" w:cstheme="minorHAnsi"/>
        </w:rPr>
        <w:t>Good</w:t>
      </w:r>
      <w:proofErr w:type="spellEnd"/>
      <w:r w:rsidRPr="00377E25">
        <w:rPr>
          <w:rFonts w:asciiTheme="minorHAnsi" w:hAnsiTheme="minorHAnsi" w:cstheme="minorHAnsi"/>
        </w:rPr>
        <w:t> </w:t>
      </w:r>
      <w:proofErr w:type="spellStart"/>
      <w:r w:rsidRPr="00377E25">
        <w:rPr>
          <w:rFonts w:asciiTheme="minorHAnsi" w:hAnsiTheme="minorHAnsi" w:cstheme="minorHAnsi"/>
        </w:rPr>
        <w:t>Lives</w:t>
      </w:r>
      <w:proofErr w:type="spellEnd"/>
      <w:r w:rsidRPr="00377E25">
        <w:rPr>
          <w:rFonts w:asciiTheme="minorHAnsi" w:hAnsiTheme="minorHAnsi" w:cstheme="minorHAnsi"/>
        </w:rPr>
        <w:t> Model. Deze benaderingswijze richt zich vooral op het bevorderen van het welzijn van de forensische cliënt en stelt de sterke eigenschappen en capaciteiten van het individu centraal. De eigen regie van de cliënt wordt bevorderd. Het model biedt ook inzicht in welke factoren leiden tot vermindering van het recidive-risico. Behandelaren en begeleiders rapporteren in het dossier van de cliënt op de gestelde doelen in het behandel- of begeleidingsplan.  </w:t>
      </w:r>
    </w:p>
    <w:p w14:paraId="2DE6BF21" w14:textId="48EBEF71" w:rsidR="00377E25" w:rsidRPr="00377E25" w:rsidRDefault="00377E25" w:rsidP="00377E25">
      <w:pPr>
        <w:rPr>
          <w:rFonts w:asciiTheme="minorHAnsi" w:hAnsiTheme="minorHAnsi" w:cstheme="minorHAnsi"/>
        </w:rPr>
      </w:pPr>
      <w:r w:rsidRPr="00377E25">
        <w:rPr>
          <w:rFonts w:asciiTheme="minorHAnsi" w:hAnsiTheme="minorHAnsi" w:cstheme="minorHAnsi"/>
        </w:rPr>
        <w:t>Om beter aan te sluiten bij de ervarings- en belevingswereld van cliënten zijn meerdere behandelaren en begeleiders getraind in de Presentiebenadering, die goed aansluit bij het gedachtegoed van herstelgerichte zorg. Met de inzet van ervaringsdeskundigen willen we nog meer inspelen op de ervarings- en belevingswereld van cliënten. Dit doen we op individueel niveau door de inzet van motiverende gespreksvoering en vanaf 2026 op groepsniveau door het aanbieden van herstelgroepen in de klinische setting. In deze bijeenkomsten staan thema’s als resocialisatie, herstelgerichte activiteiten en het opbouwen van een gezond netwerk centraal. </w:t>
      </w:r>
    </w:p>
    <w:p w14:paraId="4C618DF8" w14:textId="743FC2D9" w:rsidR="00377E25" w:rsidRPr="00377E25" w:rsidRDefault="00377E25" w:rsidP="00377E25">
      <w:pPr>
        <w:rPr>
          <w:rFonts w:asciiTheme="minorHAnsi" w:hAnsiTheme="minorHAnsi" w:cstheme="minorHAnsi"/>
        </w:rPr>
      </w:pPr>
      <w:r w:rsidRPr="00377E25">
        <w:rPr>
          <w:rFonts w:asciiTheme="minorHAnsi" w:hAnsiTheme="minorHAnsi" w:cstheme="minorHAnsi"/>
        </w:rPr>
        <w:t xml:space="preserve">In de voorzieningen voor begeleid wonen is aandacht voor zinvolle dagbesteding. De samenwerking met Werkvisie De Hoop is hierin van groot belang. Werkvisie biedt op zes verschillende locaties diverse projecten aan, variërend van een kringloopwinkel, een bakkerij tot een restaurant en </w:t>
      </w:r>
      <w:r w:rsidRPr="00377E25">
        <w:rPr>
          <w:rFonts w:asciiTheme="minorHAnsi" w:hAnsiTheme="minorHAnsi" w:cstheme="minorHAnsi"/>
        </w:rPr>
        <w:lastRenderedPageBreak/>
        <w:t>gebouwbeheer. Daarnaast is er binnen 22 leerwerkbedrijven een aanbod voor structurele dagactiviteiten of werkervaring onder professionele begeleiding.  </w:t>
      </w:r>
      <w:r w:rsidRPr="00377E25">
        <w:rPr>
          <w:rFonts w:asciiTheme="minorHAnsi" w:hAnsiTheme="minorHAnsi" w:cstheme="minorHAnsi"/>
        </w:rPr>
        <w:br/>
        <w:t>Verder is er zorg voor het fysiek welbevinden van de cliënten, door de toegankelijke sportfaciliteiten.</w:t>
      </w:r>
      <w:r>
        <w:rPr>
          <w:rFonts w:asciiTheme="minorHAnsi" w:hAnsiTheme="minorHAnsi" w:cstheme="minorHAnsi"/>
        </w:rPr>
        <w:t xml:space="preserve"> </w:t>
      </w:r>
      <w:r w:rsidRPr="00377E25">
        <w:rPr>
          <w:rFonts w:asciiTheme="minorHAnsi" w:hAnsiTheme="minorHAnsi" w:cstheme="minorHAnsi"/>
        </w:rPr>
        <w:t>Het klinische programma bevat diverse sportactiviteiten die worden begeleid door ervaringsdeskundigen en op dagelijkse basis worden ingezet, zoals fitness, boxen en teamsporten zoals voetbal en basketbal.  </w:t>
      </w:r>
    </w:p>
    <w:p w14:paraId="55904540" w14:textId="77777777" w:rsidR="00377E25" w:rsidRPr="00377E25" w:rsidRDefault="00377E25" w:rsidP="00377E25">
      <w:pPr>
        <w:rPr>
          <w:rFonts w:asciiTheme="minorHAnsi" w:hAnsiTheme="minorHAnsi" w:cstheme="minorHAnsi"/>
        </w:rPr>
      </w:pPr>
      <w:r w:rsidRPr="00377E25">
        <w:rPr>
          <w:rFonts w:asciiTheme="minorHAnsi" w:hAnsiTheme="minorHAnsi" w:cstheme="minorHAnsi"/>
        </w:rPr>
        <w:t>Bij De Brug is in 2025 gewerkt aan verdieping en verbreding van het activerend aanbod. Zo is een aanbod gecreëerd van een inloophuis, motiverende dagbesteding tot werkervaringsplekken in een kringloop en betaalde werkplekken. Daarnaast zijn de voorzieningen voor Beschermd Wonen meer ingericht op langduriger verblijf, voor met name cliënten met een licht verstandelijke beperking (LVB) en/of verslavingsproblematiek. Dit brede palet helpt cliënten om zich op verschillende leefgebieden te ontwikkelen. </w:t>
      </w:r>
    </w:p>
    <w:p w14:paraId="0CACEAC7" w14:textId="239CDF9A" w:rsidR="00377E25" w:rsidRPr="00377E25" w:rsidRDefault="00377E25" w:rsidP="00377E25">
      <w:pPr>
        <w:rPr>
          <w:rFonts w:asciiTheme="minorHAnsi" w:hAnsiTheme="minorHAnsi" w:cstheme="minorHAnsi"/>
        </w:rPr>
      </w:pPr>
      <w:r w:rsidRPr="00377E25">
        <w:rPr>
          <w:rFonts w:asciiTheme="minorHAnsi" w:hAnsiTheme="minorHAnsi" w:cstheme="minorHAnsi"/>
        </w:rPr>
        <w:t>In het kader van herstelgerichte zorg zijn er ook drie zelfhulpgroepen actief, gericht op verslavingsproblematiek, seksverslaving en een </w:t>
      </w:r>
      <w:proofErr w:type="spellStart"/>
      <w:r w:rsidRPr="00377E25">
        <w:rPr>
          <w:rFonts w:asciiTheme="minorHAnsi" w:hAnsiTheme="minorHAnsi" w:cstheme="minorHAnsi"/>
        </w:rPr>
        <w:t>Stay</w:t>
      </w:r>
      <w:proofErr w:type="spellEnd"/>
      <w:r w:rsidRPr="00377E25">
        <w:rPr>
          <w:rFonts w:asciiTheme="minorHAnsi" w:hAnsiTheme="minorHAnsi" w:cstheme="minorHAnsi"/>
        </w:rPr>
        <w:t> clean-groep. Daarnaast zijn er twee ervaringsdeskundigen, die wanneer cliënten dit wensen en het passend is in hun behandeling, aanvullend op de ambulante behandeling inzetbaar zijn. De ervaringsdeskundigen zijn ook regelmatig aanwezig op de BW- en dagbestedingsgroepen. In 2026 zullen de ervaringsdeskundigen verder getraind worden in herstelgericht werken en motiverende gespreksvoering.  </w:t>
      </w:r>
      <w:r>
        <w:rPr>
          <w:rFonts w:asciiTheme="minorHAnsi" w:hAnsiTheme="minorHAnsi" w:cstheme="minorHAnsi"/>
        </w:rPr>
        <w:br/>
      </w:r>
    </w:p>
    <w:p w14:paraId="60B798DA" w14:textId="1A418491" w:rsidR="00377E25" w:rsidRPr="00377E25" w:rsidRDefault="00377E25" w:rsidP="00377E25">
      <w:pPr>
        <w:rPr>
          <w:rFonts w:asciiTheme="minorHAnsi" w:hAnsiTheme="minorHAnsi" w:cstheme="minorHAnsi"/>
        </w:rPr>
      </w:pPr>
      <w:r w:rsidRPr="00377E25">
        <w:rPr>
          <w:rFonts w:asciiTheme="minorHAnsi" w:hAnsiTheme="minorHAnsi" w:cstheme="minorHAnsi"/>
          <w:b/>
          <w:bCs/>
        </w:rPr>
        <w:t>Betrekken van de cliënt en diens netwerk  </w:t>
      </w:r>
      <w:r w:rsidRPr="00377E25">
        <w:rPr>
          <w:rFonts w:asciiTheme="minorHAnsi" w:hAnsiTheme="minorHAnsi" w:cstheme="minorHAnsi"/>
          <w:noProof/>
        </w:rPr>
        <w:drawing>
          <wp:inline distT="0" distB="0" distL="0" distR="0" wp14:anchorId="119CEDF5" wp14:editId="21A035ED">
            <wp:extent cx="342900" cy="152400"/>
            <wp:effectExtent l="0" t="0" r="0" b="0"/>
            <wp:docPr id="1643046135" name="Afbeelding 232" descr="1.400+ Groen Stoplicht Stockillustraties, royalty-free vector illustraties  en clipart - iStock | Rood stoplicht, Oranje stoplicht, Red traffic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descr="1.400+ Groen Stoplicht Stockillustraties, royalty-free vector illustraties  en clipart - iStock | Rood stoplicht, Oranje stoplicht, Red traffic ligh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 cy="152400"/>
                    </a:xfrm>
                    <a:prstGeom prst="rect">
                      <a:avLst/>
                    </a:prstGeom>
                    <a:noFill/>
                    <a:ln>
                      <a:noFill/>
                    </a:ln>
                  </pic:spPr>
                </pic:pic>
              </a:graphicData>
            </a:graphic>
          </wp:inline>
        </w:drawing>
      </w:r>
      <w:r w:rsidRPr="00377E25">
        <w:rPr>
          <w:rFonts w:asciiTheme="minorHAnsi" w:hAnsiTheme="minorHAnsi" w:cstheme="minorHAnsi"/>
          <w:b/>
          <w:bCs/>
        </w:rPr>
        <w:t> </w:t>
      </w:r>
      <w:r w:rsidRPr="00377E25">
        <w:rPr>
          <w:rFonts w:asciiTheme="minorHAnsi" w:hAnsiTheme="minorHAnsi" w:cstheme="minorHAnsi"/>
        </w:rPr>
        <w:t> </w:t>
      </w:r>
      <w:r w:rsidRPr="00377E25">
        <w:rPr>
          <w:rFonts w:asciiTheme="minorHAnsi" w:hAnsiTheme="minorHAnsi" w:cstheme="minorHAnsi"/>
        </w:rPr>
        <w:br/>
      </w:r>
      <w:r w:rsidRPr="00377E25">
        <w:rPr>
          <w:rFonts w:asciiTheme="minorHAnsi" w:hAnsiTheme="minorHAnsi" w:cstheme="minorHAnsi"/>
          <w:u w:val="single"/>
        </w:rPr>
        <w:t>Betrekken van de cliënt</w:t>
      </w:r>
      <w:r w:rsidRPr="00377E25">
        <w:rPr>
          <w:rFonts w:asciiTheme="minorHAnsi" w:hAnsiTheme="minorHAnsi" w:cstheme="minorHAnsi"/>
        </w:rPr>
        <w:t> </w:t>
      </w:r>
      <w:r w:rsidRPr="00377E25">
        <w:rPr>
          <w:rFonts w:asciiTheme="minorHAnsi" w:hAnsiTheme="minorHAnsi" w:cstheme="minorHAnsi"/>
        </w:rPr>
        <w:br/>
        <w:t>Het meer betrekken van de cliënt bij keuzes in de behandeling en begeleiding is in alle drie de organisaties en alle settingen een ingezet ontwikkelpunt. Het uitgangspunt hierbij is dat er minder over en meer vanuit de cliënt wordt beschreven. In het beleidskader ‘Samen beslissen’ is vastgelegd hoe vanaf de intake tot de start van de behandeling behandeldoelen gezamenlijk geformuleerd worden waarbij de motivatie en inzet van de cliënt gestimuleerd wordt.  </w:t>
      </w:r>
    </w:p>
    <w:p w14:paraId="7E6FC4C0" w14:textId="77777777" w:rsidR="00377E25" w:rsidRPr="00377E25" w:rsidRDefault="00377E25" w:rsidP="00377E25">
      <w:pPr>
        <w:rPr>
          <w:rFonts w:asciiTheme="minorHAnsi" w:hAnsiTheme="minorHAnsi" w:cstheme="minorHAnsi"/>
        </w:rPr>
      </w:pPr>
      <w:r w:rsidRPr="00377E25">
        <w:rPr>
          <w:rFonts w:asciiTheme="minorHAnsi" w:hAnsiTheme="minorHAnsi" w:cstheme="minorHAnsi"/>
        </w:rPr>
        <w:t>Samen beslissen is in de kern: het aangaan van een partnerschap tijdens de behandeling van cliënt en behandelaar, begeleider en eventuele naastbetrokkenen, om te komen tot een behandeling waarin:  </w:t>
      </w:r>
    </w:p>
    <w:p w14:paraId="4D5C23C5" w14:textId="77777777" w:rsidR="00377E25" w:rsidRPr="00377E25" w:rsidRDefault="00377E25">
      <w:pPr>
        <w:pStyle w:val="paragraph"/>
        <w:numPr>
          <w:ilvl w:val="0"/>
          <w:numId w:val="1"/>
        </w:numPr>
        <w:spacing w:before="0" w:beforeAutospacing="0" w:after="0" w:afterAutospacing="0"/>
        <w:textAlignment w:val="baseline"/>
        <w:rPr>
          <w:rStyle w:val="eop"/>
          <w:rFonts w:ascii="Calibri" w:hAnsi="Calibri" w:cs="Calibri"/>
          <w:sz w:val="22"/>
          <w:szCs w:val="22"/>
        </w:rPr>
      </w:pPr>
      <w:r>
        <w:rPr>
          <w:rStyle w:val="normaltextrun"/>
          <w:rFonts w:ascii="Calibri" w:eastAsiaTheme="majorEastAsia" w:hAnsi="Calibri" w:cs="Calibri"/>
          <w:sz w:val="22"/>
          <w:szCs w:val="22"/>
        </w:rPr>
        <w:t>Zoveel mogelijk de doelrichting wordt bepaald door de cliënt in relatie met zijn behandelaar en/of begeleider; </w:t>
      </w:r>
    </w:p>
    <w:p w14:paraId="465B2101" w14:textId="77777777" w:rsidR="00377E25" w:rsidRPr="00377E25" w:rsidRDefault="00377E25">
      <w:pPr>
        <w:pStyle w:val="paragraph"/>
        <w:numPr>
          <w:ilvl w:val="0"/>
          <w:numId w:val="1"/>
        </w:numPr>
        <w:spacing w:before="0" w:beforeAutospacing="0" w:after="0" w:afterAutospacing="0"/>
        <w:textAlignment w:val="baseline"/>
        <w:rPr>
          <w:rStyle w:val="eop"/>
          <w:rFonts w:ascii="Calibri" w:hAnsi="Calibri" w:cs="Calibri"/>
          <w:sz w:val="22"/>
          <w:szCs w:val="22"/>
        </w:rPr>
      </w:pPr>
      <w:r w:rsidRPr="00377E25">
        <w:rPr>
          <w:rStyle w:val="normaltextrun"/>
          <w:rFonts w:ascii="Calibri" w:eastAsiaTheme="majorEastAsia" w:hAnsi="Calibri" w:cs="Calibri"/>
          <w:sz w:val="22"/>
          <w:szCs w:val="22"/>
        </w:rPr>
        <w:t>De methoden waarmee gewerkt wordt in lijn zijn met dat waar de cliënt in gelooft en met de investering die de cliënt wil doen; </w:t>
      </w:r>
    </w:p>
    <w:p w14:paraId="03279B32" w14:textId="77777777" w:rsidR="00377E25" w:rsidRPr="00377E25" w:rsidRDefault="00377E25">
      <w:pPr>
        <w:pStyle w:val="paragraph"/>
        <w:numPr>
          <w:ilvl w:val="0"/>
          <w:numId w:val="1"/>
        </w:numPr>
        <w:spacing w:before="0" w:beforeAutospacing="0" w:after="0" w:afterAutospacing="0"/>
        <w:textAlignment w:val="baseline"/>
        <w:rPr>
          <w:rStyle w:val="eop"/>
          <w:rFonts w:ascii="Calibri" w:hAnsi="Calibri" w:cs="Calibri"/>
          <w:sz w:val="22"/>
          <w:szCs w:val="22"/>
        </w:rPr>
      </w:pPr>
      <w:r w:rsidRPr="00377E25">
        <w:rPr>
          <w:rStyle w:val="normaltextrun"/>
          <w:rFonts w:ascii="Calibri" w:eastAsiaTheme="majorEastAsia" w:hAnsi="Calibri" w:cs="Calibri"/>
          <w:sz w:val="22"/>
          <w:szCs w:val="22"/>
        </w:rPr>
        <w:t>Zoveel mogelijk de inbreng van het systeem wordt geborgd, en de relaties met belangrijke naastbetrokkenen centraal staan; </w:t>
      </w:r>
    </w:p>
    <w:p w14:paraId="7AA465B7" w14:textId="77777777" w:rsidR="00377E25" w:rsidRPr="00377E25" w:rsidRDefault="00377E25">
      <w:pPr>
        <w:pStyle w:val="paragraph"/>
        <w:numPr>
          <w:ilvl w:val="0"/>
          <w:numId w:val="1"/>
        </w:numPr>
        <w:spacing w:before="0" w:beforeAutospacing="0" w:after="0" w:afterAutospacing="0"/>
        <w:textAlignment w:val="baseline"/>
        <w:rPr>
          <w:rStyle w:val="eop"/>
          <w:rFonts w:ascii="Calibri" w:hAnsi="Calibri" w:cs="Calibri"/>
          <w:sz w:val="22"/>
          <w:szCs w:val="22"/>
        </w:rPr>
      </w:pPr>
      <w:r w:rsidRPr="00377E25">
        <w:rPr>
          <w:rStyle w:val="normaltextrun"/>
          <w:rFonts w:ascii="Calibri" w:eastAsiaTheme="majorEastAsia" w:hAnsi="Calibri" w:cs="Calibri"/>
          <w:sz w:val="22"/>
          <w:szCs w:val="22"/>
        </w:rPr>
        <w:t>Niet alleen is gewerkt met dat wat hindert, maar ook met de krachtbronnen en relaties die de cliënt potentieel heeft; </w:t>
      </w:r>
    </w:p>
    <w:p w14:paraId="67CA25FA" w14:textId="7672E870" w:rsidR="00377E25" w:rsidRPr="00377E25" w:rsidRDefault="00377E25">
      <w:pPr>
        <w:pStyle w:val="paragraph"/>
        <w:numPr>
          <w:ilvl w:val="0"/>
          <w:numId w:val="1"/>
        </w:numPr>
        <w:spacing w:before="0" w:beforeAutospacing="0" w:after="0" w:afterAutospacing="0"/>
        <w:textAlignment w:val="baseline"/>
        <w:rPr>
          <w:rFonts w:ascii="Calibri" w:hAnsi="Calibri" w:cs="Calibri"/>
          <w:sz w:val="22"/>
          <w:szCs w:val="22"/>
        </w:rPr>
      </w:pPr>
      <w:r w:rsidRPr="00377E25">
        <w:rPr>
          <w:rStyle w:val="normaltextrun"/>
          <w:rFonts w:ascii="Calibri" w:eastAsiaTheme="majorEastAsia" w:hAnsi="Calibri" w:cs="Calibri"/>
          <w:sz w:val="22"/>
          <w:szCs w:val="22"/>
        </w:rPr>
        <w:t>Hoop en vertrouwen worden gegenereerd.</w:t>
      </w:r>
      <w:r>
        <w:rPr>
          <w:rStyle w:val="normaltextrun"/>
          <w:rFonts w:ascii="Calibri" w:eastAsiaTheme="majorEastAsia" w:hAnsi="Calibri" w:cs="Calibri"/>
          <w:sz w:val="22"/>
          <w:szCs w:val="22"/>
        </w:rPr>
        <w:br/>
      </w:r>
    </w:p>
    <w:p w14:paraId="66BB88E4" w14:textId="77777777" w:rsidR="00377E25" w:rsidRDefault="00377E25" w:rsidP="00377E25">
      <w:pPr>
        <w:pStyle w:val="paragraph"/>
        <w:spacing w:before="0" w:beforeAutospacing="0" w:after="0" w:afterAutospacing="0"/>
        <w:textAlignment w:val="baseline"/>
        <w:rPr>
          <w:rStyle w:val="eop"/>
          <w:rFonts w:ascii="Calibri" w:eastAsiaTheme="majorEastAsia" w:hAnsi="Calibri" w:cs="Calibri"/>
          <w:sz w:val="22"/>
          <w:szCs w:val="22"/>
          <w:bdr w:val="none" w:sz="0" w:space="0" w:color="auto" w:frame="1"/>
          <w:shd w:val="clear" w:color="auto" w:fill="C6C6C6"/>
        </w:rPr>
      </w:pPr>
      <w:r>
        <w:rPr>
          <w:rStyle w:val="normaltextrun"/>
          <w:rFonts w:ascii="Calibri" w:hAnsi="Calibri" w:cs="Calibri"/>
          <w:sz w:val="22"/>
          <w:szCs w:val="22"/>
        </w:rPr>
        <w:t>Het resultaat van samen beslissen is terug te zien in: </w:t>
      </w:r>
    </w:p>
    <w:p w14:paraId="5444EC55" w14:textId="77777777" w:rsidR="00377E25" w:rsidRPr="00377E25" w:rsidRDefault="00377E25">
      <w:pPr>
        <w:pStyle w:val="paragraph"/>
        <w:numPr>
          <w:ilvl w:val="0"/>
          <w:numId w:val="2"/>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sz w:val="22"/>
          <w:szCs w:val="22"/>
        </w:rPr>
        <w:t>Het dossier waarin staat of de cliënt naastbetrokkenen wil betrekken en wie dat zijn; </w:t>
      </w:r>
    </w:p>
    <w:p w14:paraId="51E35DBE" w14:textId="77777777" w:rsidR="00377E25" w:rsidRPr="00377E25" w:rsidRDefault="00377E25">
      <w:pPr>
        <w:pStyle w:val="paragraph"/>
        <w:numPr>
          <w:ilvl w:val="0"/>
          <w:numId w:val="2"/>
        </w:numPr>
        <w:spacing w:before="0" w:beforeAutospacing="0" w:after="0" w:afterAutospacing="0"/>
        <w:textAlignment w:val="baseline"/>
        <w:rPr>
          <w:rStyle w:val="eop"/>
          <w:rFonts w:ascii="Segoe UI" w:hAnsi="Segoe UI" w:cs="Segoe UI"/>
          <w:sz w:val="18"/>
          <w:szCs w:val="18"/>
        </w:rPr>
      </w:pPr>
      <w:r w:rsidRPr="00377E25">
        <w:rPr>
          <w:rStyle w:val="normaltextrun"/>
          <w:rFonts w:ascii="Calibri" w:hAnsi="Calibri" w:cs="Calibri"/>
          <w:sz w:val="22"/>
          <w:szCs w:val="22"/>
        </w:rPr>
        <w:t>Het intakeverslag waar het perspectief van de cliënt en belangrijke anderen verwoord wordt; </w:t>
      </w:r>
    </w:p>
    <w:p w14:paraId="311BA8EC" w14:textId="77777777" w:rsidR="00377E25" w:rsidRPr="00377E25" w:rsidRDefault="00377E25">
      <w:pPr>
        <w:pStyle w:val="paragraph"/>
        <w:numPr>
          <w:ilvl w:val="0"/>
          <w:numId w:val="2"/>
        </w:numPr>
        <w:spacing w:before="0" w:beforeAutospacing="0" w:after="0" w:afterAutospacing="0"/>
        <w:textAlignment w:val="baseline"/>
        <w:rPr>
          <w:rStyle w:val="eop"/>
          <w:rFonts w:ascii="Segoe UI" w:hAnsi="Segoe UI" w:cs="Segoe UI"/>
          <w:sz w:val="18"/>
          <w:szCs w:val="18"/>
        </w:rPr>
      </w:pPr>
      <w:r w:rsidRPr="00377E25">
        <w:rPr>
          <w:rStyle w:val="normaltextrun"/>
          <w:rFonts w:ascii="Calibri" w:hAnsi="Calibri" w:cs="Calibri"/>
          <w:sz w:val="22"/>
          <w:szCs w:val="22"/>
        </w:rPr>
        <w:t>Het begeleidingsplan en het behandelplan waar de doelen zijn uitgewerkt naar vier thema’s: relatie met zichzelf, de ander, zingeving en de maatschappelijke context; </w:t>
      </w:r>
    </w:p>
    <w:p w14:paraId="470BA826" w14:textId="77777777" w:rsidR="00377E25" w:rsidRPr="00377E25" w:rsidRDefault="00377E25">
      <w:pPr>
        <w:pStyle w:val="paragraph"/>
        <w:numPr>
          <w:ilvl w:val="0"/>
          <w:numId w:val="2"/>
        </w:numPr>
        <w:spacing w:before="0" w:beforeAutospacing="0" w:after="0" w:afterAutospacing="0"/>
        <w:textAlignment w:val="baseline"/>
        <w:rPr>
          <w:rStyle w:val="eop"/>
          <w:rFonts w:ascii="Segoe UI" w:hAnsi="Segoe UI" w:cs="Segoe UI"/>
          <w:sz w:val="18"/>
          <w:szCs w:val="18"/>
        </w:rPr>
      </w:pPr>
      <w:r w:rsidRPr="00377E25">
        <w:rPr>
          <w:rStyle w:val="normaltextrun"/>
          <w:rFonts w:ascii="Calibri" w:hAnsi="Calibri" w:cs="Calibri"/>
          <w:sz w:val="22"/>
          <w:szCs w:val="22"/>
        </w:rPr>
        <w:t xml:space="preserve">Het multidisciplinair overleg (MDO) of de bewonersbespreking, het overleg waar de cliënt ook is uitgenodigd, en waar de behandelaren samen met de cliënt afstemmen over de </w:t>
      </w:r>
      <w:r w:rsidRPr="00377E25">
        <w:rPr>
          <w:rStyle w:val="normaltextrun"/>
          <w:rFonts w:ascii="Calibri" w:hAnsi="Calibri" w:cs="Calibri"/>
          <w:sz w:val="22"/>
          <w:szCs w:val="22"/>
        </w:rPr>
        <w:lastRenderedPageBreak/>
        <w:t>voortgang. Ook naastbetrokkenen mogen deelnemen als de cliënt dat wenst. Het evaluatiegesprek van de behandeling kan daarmee samenvallen met het MDO; </w:t>
      </w:r>
    </w:p>
    <w:p w14:paraId="1724BF3C" w14:textId="00530C6D" w:rsidR="00377E25" w:rsidRPr="00377E25" w:rsidRDefault="00377E25">
      <w:pPr>
        <w:pStyle w:val="paragraph"/>
        <w:numPr>
          <w:ilvl w:val="0"/>
          <w:numId w:val="2"/>
        </w:numPr>
        <w:spacing w:before="0" w:beforeAutospacing="0" w:after="0" w:afterAutospacing="0"/>
        <w:textAlignment w:val="baseline"/>
        <w:rPr>
          <w:rFonts w:ascii="Segoe UI" w:hAnsi="Segoe UI" w:cs="Segoe UI"/>
          <w:sz w:val="18"/>
          <w:szCs w:val="18"/>
        </w:rPr>
      </w:pPr>
      <w:r w:rsidRPr="00377E25">
        <w:rPr>
          <w:rStyle w:val="normaltextrun"/>
          <w:rFonts w:ascii="Calibri" w:hAnsi="Calibri" w:cs="Calibri"/>
          <w:sz w:val="22"/>
          <w:szCs w:val="22"/>
        </w:rPr>
        <w:t>Evaluatieverslagen, waarin ook resultaten van ROM-metingen en tevredenheidsmetingen plaats krijgen. Onderdeel van deze laatste meting is de vraag of men voldoende keuzevrijheid heeft gekregen.  </w:t>
      </w:r>
      <w:r>
        <w:rPr>
          <w:rStyle w:val="normaltextrun"/>
          <w:rFonts w:ascii="Calibri" w:hAnsi="Calibri" w:cs="Calibri"/>
          <w:sz w:val="22"/>
          <w:szCs w:val="22"/>
        </w:rPr>
        <w:br/>
      </w:r>
    </w:p>
    <w:p w14:paraId="7F5A223C" w14:textId="317E272F" w:rsidR="00377E25" w:rsidRPr="00377E25" w:rsidRDefault="00377E25" w:rsidP="00377E25">
      <w:pPr>
        <w:rPr>
          <w:rFonts w:asciiTheme="minorHAnsi" w:hAnsiTheme="minorHAnsi" w:cstheme="minorHAnsi"/>
        </w:rPr>
      </w:pPr>
      <w:r w:rsidRPr="00377E25">
        <w:rPr>
          <w:rFonts w:asciiTheme="minorHAnsi" w:hAnsiTheme="minorHAnsi" w:cstheme="minorHAnsi"/>
        </w:rPr>
        <w:t>Op de polikliniek krijgt dit verder vorm in de 3-maandelijkse evaluatie met de cliënt, regiebehandelaar, reclassering en andere samenwerkingspartners, zoals begeleider of bewindvoerder. Waar passend en mogelijk sluit iemand uit het netwerk van de cliënt aan. In de kliniek zijn dit de </w:t>
      </w:r>
      <w:proofErr w:type="spellStart"/>
      <w:r w:rsidRPr="00377E25">
        <w:rPr>
          <w:rFonts w:asciiTheme="minorHAnsi" w:hAnsiTheme="minorHAnsi" w:cstheme="minorHAnsi"/>
        </w:rPr>
        <w:t>zorgafstemmingsgesprekken</w:t>
      </w:r>
      <w:proofErr w:type="spellEnd"/>
      <w:r w:rsidRPr="00377E25">
        <w:rPr>
          <w:rFonts w:asciiTheme="minorHAnsi" w:hAnsiTheme="minorHAnsi" w:cstheme="minorHAnsi"/>
        </w:rPr>
        <w:t> (ZAG). In het ZAG vindt ook afstemming plaats met begeleiders van Begeleid Wonen/Ambulante begeleiding als zij betrokken zijn bij de cliënt. Verder wordt er in de klinische setting veel ingezet op het vergroten van de intrinsieke motivatie van cliënten, onder andere door een motivatiegroep en motiverende gespreksvoering. Het werken vanuit het </w:t>
      </w:r>
      <w:proofErr w:type="spellStart"/>
      <w:r w:rsidRPr="00377E25">
        <w:rPr>
          <w:rFonts w:asciiTheme="minorHAnsi" w:hAnsiTheme="minorHAnsi" w:cstheme="minorHAnsi"/>
        </w:rPr>
        <w:t>Good</w:t>
      </w:r>
      <w:proofErr w:type="spellEnd"/>
      <w:r w:rsidRPr="00377E25">
        <w:rPr>
          <w:rFonts w:asciiTheme="minorHAnsi" w:hAnsiTheme="minorHAnsi" w:cstheme="minorHAnsi"/>
        </w:rPr>
        <w:t> </w:t>
      </w:r>
      <w:proofErr w:type="spellStart"/>
      <w:r w:rsidRPr="00377E25">
        <w:rPr>
          <w:rFonts w:asciiTheme="minorHAnsi" w:hAnsiTheme="minorHAnsi" w:cstheme="minorHAnsi"/>
        </w:rPr>
        <w:t>Lives</w:t>
      </w:r>
      <w:proofErr w:type="spellEnd"/>
      <w:r w:rsidRPr="00377E25">
        <w:rPr>
          <w:rFonts w:asciiTheme="minorHAnsi" w:hAnsiTheme="minorHAnsi" w:cstheme="minorHAnsi"/>
        </w:rPr>
        <w:t> Model en RNR-model sluit hierop aan. </w:t>
      </w:r>
    </w:p>
    <w:p w14:paraId="1A2FE5AF" w14:textId="53933A0C" w:rsidR="00377E25" w:rsidRPr="00377E25" w:rsidRDefault="00377E25" w:rsidP="00377E25">
      <w:pPr>
        <w:rPr>
          <w:rFonts w:asciiTheme="minorHAnsi" w:hAnsiTheme="minorHAnsi" w:cstheme="minorHAnsi"/>
        </w:rPr>
      </w:pPr>
      <w:r w:rsidRPr="00377E25">
        <w:rPr>
          <w:rFonts w:asciiTheme="minorHAnsi" w:hAnsiTheme="minorHAnsi" w:cstheme="minorHAnsi"/>
          <w:u w:val="single"/>
        </w:rPr>
        <w:t>Betrekken van het netwerk van de cliënt</w:t>
      </w:r>
      <w:r w:rsidRPr="00377E25">
        <w:rPr>
          <w:rFonts w:asciiTheme="minorHAnsi" w:hAnsiTheme="minorHAnsi" w:cstheme="minorHAnsi"/>
        </w:rPr>
        <w:t> </w:t>
      </w:r>
      <w:r>
        <w:rPr>
          <w:rFonts w:asciiTheme="minorHAnsi" w:hAnsiTheme="minorHAnsi" w:cstheme="minorHAnsi"/>
        </w:rPr>
        <w:br/>
      </w:r>
      <w:r w:rsidRPr="00377E25">
        <w:rPr>
          <w:rFonts w:asciiTheme="minorHAnsi" w:hAnsiTheme="minorHAnsi" w:cstheme="minorHAnsi"/>
        </w:rPr>
        <w:t>In de forensisch ambulante zorg is het uitgangspunt dat bij het eerste gesprek met de Reclassering ook een naaste van de cliënt aansluit. In het vervolg van de behandeling worden naasten zoveel mogelijk betrokken bij het proces van de cliënt. Een SPV-er in het team met veel ervaring in bemoeizorg en resocialisatie informeert de naasten over het forensisch kader, de problematiek die speelt en welke consequenties die kan hebben. </w:t>
      </w:r>
    </w:p>
    <w:p w14:paraId="0831B1B2" w14:textId="7C1F40ED" w:rsidR="00377E25" w:rsidRPr="00377E25" w:rsidRDefault="00377E25" w:rsidP="00377E25">
      <w:pPr>
        <w:rPr>
          <w:rFonts w:asciiTheme="minorHAnsi" w:hAnsiTheme="minorHAnsi" w:cstheme="minorHAnsi"/>
        </w:rPr>
      </w:pPr>
      <w:r w:rsidRPr="00377E25">
        <w:rPr>
          <w:rFonts w:asciiTheme="minorHAnsi" w:hAnsiTheme="minorHAnsi" w:cstheme="minorHAnsi"/>
        </w:rPr>
        <w:t>In de kliniek volgen cliënten de module Familie &amp; Relatie, waarin zij leren hoe (familie)systemen werken. Binnen Begeleid Wonen is netwerkontwikkeling een vast onderdeel van de Herstelgerichte aanpak. Naasten die betrokken zijn bij de cliënt worden geïnformeerd over forensische zorg en zo mogelijk actief betrokken bij de begeleiding.  </w:t>
      </w:r>
    </w:p>
    <w:p w14:paraId="757ABF32" w14:textId="3B71FF95" w:rsidR="006F1DBF" w:rsidRDefault="00377E25" w:rsidP="00377E25">
      <w:pPr>
        <w:rPr>
          <w:rFonts w:asciiTheme="minorHAnsi" w:hAnsiTheme="minorHAnsi" w:cstheme="minorHAnsi"/>
        </w:rPr>
      </w:pPr>
      <w:r w:rsidRPr="00377E25">
        <w:rPr>
          <w:rFonts w:asciiTheme="minorHAnsi" w:hAnsiTheme="minorHAnsi" w:cstheme="minorHAnsi"/>
        </w:rPr>
        <w:t>Bij De Brug wordt het netwerk van de cliënt onder meer betrokken door systeemgesprekken en waar nodig in aparte begeleiding van partners of ouders van de cliënt.  </w:t>
      </w:r>
    </w:p>
    <w:p w14:paraId="1F66C85A" w14:textId="77777777" w:rsidR="006F1DBF" w:rsidRDefault="006F1DBF">
      <w:pPr>
        <w:rPr>
          <w:rFonts w:asciiTheme="minorHAnsi" w:hAnsiTheme="minorHAnsi" w:cstheme="minorHAnsi"/>
        </w:rPr>
      </w:pPr>
      <w:r>
        <w:rPr>
          <w:rFonts w:asciiTheme="minorHAnsi" w:hAnsiTheme="minorHAnsi" w:cstheme="minorHAnsi"/>
        </w:rPr>
        <w:br w:type="page"/>
      </w:r>
    </w:p>
    <w:p w14:paraId="2891003B" w14:textId="7295E631" w:rsidR="006F1DBF" w:rsidRPr="006F1DBF" w:rsidRDefault="006F1DBF" w:rsidP="006F1DBF">
      <w:pPr>
        <w:rPr>
          <w:rFonts w:asciiTheme="minorHAnsi" w:hAnsiTheme="minorHAnsi" w:cstheme="minorHAnsi"/>
        </w:rPr>
      </w:pPr>
      <w:r w:rsidRPr="006F1DBF">
        <w:rPr>
          <w:rFonts w:asciiTheme="minorHAnsi" w:hAnsiTheme="minorHAnsi" w:cstheme="minorHAnsi"/>
          <w:b/>
          <w:bCs/>
          <w:sz w:val="24"/>
          <w:szCs w:val="24"/>
        </w:rPr>
        <w:lastRenderedPageBreak/>
        <w:t>4.2 Pijler 2: Forensisch vakmanschap</w:t>
      </w:r>
      <w:r w:rsidRPr="006F1DBF">
        <w:rPr>
          <w:rFonts w:asciiTheme="minorHAnsi" w:hAnsiTheme="minorHAnsi" w:cstheme="minorHAnsi"/>
          <w:sz w:val="24"/>
          <w:szCs w:val="24"/>
        </w:rPr>
        <w:t> </w:t>
      </w:r>
      <w:r>
        <w:rPr>
          <w:rFonts w:asciiTheme="minorHAnsi" w:hAnsiTheme="minorHAnsi" w:cstheme="minorHAnsi"/>
        </w:rPr>
        <w:br/>
      </w:r>
      <w:r w:rsidRPr="006F1DBF">
        <w:rPr>
          <w:rFonts w:asciiTheme="minorHAnsi" w:hAnsiTheme="minorHAnsi" w:cstheme="minorHAnsi"/>
        </w:rPr>
        <w:t>De pijler Forensisch Vakmanschap omvat de thema's Vakbekwaamheid/bevoegdheid, Opleidingsplan en Ervaringsdeskundigheid. Voor een belangrijk deel voldoen we al aan de kwaliteitsaspecten onder deze thema's. Zo werken de professionals in de verschillende zorgsoorten in multidisciplinaire teams en volgens de voor hen geldende standaarden en methodieken. Medewerkers die nog in opleiding zijn, worden begeleid door bevoegde en bekwame professionals. In intervisiegroepen is er ruimte voor reflectie en leren van elkaar.  </w:t>
      </w:r>
    </w:p>
    <w:p w14:paraId="0C88909C" w14:textId="2ED0566D" w:rsidR="006F1DBF" w:rsidRPr="006F1DBF" w:rsidRDefault="006F1DBF" w:rsidP="006F1DBF">
      <w:pPr>
        <w:rPr>
          <w:rFonts w:asciiTheme="minorHAnsi" w:hAnsiTheme="minorHAnsi" w:cstheme="minorHAnsi"/>
        </w:rPr>
      </w:pPr>
      <w:r w:rsidRPr="006F1DBF">
        <w:rPr>
          <w:rFonts w:asciiTheme="minorHAnsi" w:hAnsiTheme="minorHAnsi" w:cstheme="minorHAnsi"/>
          <w:b/>
          <w:bCs/>
        </w:rPr>
        <w:t>Vakbekwaamheid/bevoegdheid </w:t>
      </w:r>
      <w:r w:rsidRPr="006F1DBF">
        <w:rPr>
          <w:rFonts w:asciiTheme="minorHAnsi" w:hAnsiTheme="minorHAnsi" w:cstheme="minorHAnsi"/>
          <w:noProof/>
        </w:rPr>
        <w:drawing>
          <wp:inline distT="0" distB="0" distL="0" distR="0" wp14:anchorId="3972147C" wp14:editId="31A36422">
            <wp:extent cx="333375" cy="133350"/>
            <wp:effectExtent l="0" t="0" r="9525" b="0"/>
            <wp:docPr id="1518724759" name="Afbeelding 236" descr="1.400+ Groen Stoplicht Stockillustraties, royalty-free vector illustraties  en clipart - iStock | Rood stoplicht, Oranje stoplicht, Red traffic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descr="1.400+ Groen Stoplicht Stockillustraties, royalty-free vector illustraties  en clipart - iStock | Rood stoplicht, Oranje stoplicht, Red traffic ligh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 cy="133350"/>
                    </a:xfrm>
                    <a:prstGeom prst="rect">
                      <a:avLst/>
                    </a:prstGeom>
                    <a:noFill/>
                    <a:ln>
                      <a:noFill/>
                    </a:ln>
                  </pic:spPr>
                </pic:pic>
              </a:graphicData>
            </a:graphic>
          </wp:inline>
        </w:drawing>
      </w:r>
      <w:r w:rsidRPr="006F1DBF">
        <w:rPr>
          <w:rFonts w:asciiTheme="minorHAnsi" w:hAnsiTheme="minorHAnsi" w:cstheme="minorHAnsi"/>
        </w:rPr>
        <w:t> </w:t>
      </w:r>
      <w:r>
        <w:rPr>
          <w:rFonts w:asciiTheme="minorHAnsi" w:hAnsiTheme="minorHAnsi" w:cstheme="minorHAnsi"/>
        </w:rPr>
        <w:br/>
      </w:r>
      <w:r w:rsidRPr="006F1DBF">
        <w:rPr>
          <w:rFonts w:asciiTheme="minorHAnsi" w:hAnsiTheme="minorHAnsi" w:cstheme="minorHAnsi"/>
        </w:rPr>
        <w:t>In 2025 zijn binnen De Hoop verschillende activiteiten ondernomen om de vakbekwaamheid van de behandelaren en begeleiders in de forensische zorg te vergroten. In de klinische setting is er intervisie voor groepsbegeleiders. Ook hebben klinische behandelaren en groepsbegeleiders een training de-escalerend handelen gevolgd en een training suïcidepreventie. Daarnaast is er één keer per maand een deskundigheidsbevordering over uiteenlopende thema's.  </w:t>
      </w:r>
    </w:p>
    <w:p w14:paraId="6E207B39" w14:textId="1DC4CFD0" w:rsidR="006F1DBF" w:rsidRPr="006F1DBF" w:rsidRDefault="006F1DBF" w:rsidP="006F1DBF">
      <w:pPr>
        <w:rPr>
          <w:rFonts w:asciiTheme="minorHAnsi" w:hAnsiTheme="minorHAnsi" w:cstheme="minorHAnsi"/>
        </w:rPr>
      </w:pPr>
      <w:r w:rsidRPr="006F1DBF">
        <w:rPr>
          <w:rFonts w:asciiTheme="minorHAnsi" w:hAnsiTheme="minorHAnsi" w:cstheme="minorHAnsi"/>
        </w:rPr>
        <w:t>Bij de forensische intervisie in de ambulante setting sluiten ook klinische behandelaren aan. Deze intervisie is 1x per maand, maar kan vaker plaatsvinden als hier aanleiding toe of behoefte aan is. De forensische leerlijn van de GGZ </w:t>
      </w:r>
      <w:proofErr w:type="spellStart"/>
      <w:r w:rsidRPr="006F1DBF">
        <w:rPr>
          <w:rFonts w:asciiTheme="minorHAnsi" w:hAnsiTheme="minorHAnsi" w:cstheme="minorHAnsi"/>
        </w:rPr>
        <w:t>Ecademy</w:t>
      </w:r>
      <w:proofErr w:type="spellEnd"/>
      <w:r w:rsidRPr="006F1DBF">
        <w:rPr>
          <w:rFonts w:asciiTheme="minorHAnsi" w:hAnsiTheme="minorHAnsi" w:cstheme="minorHAnsi"/>
        </w:rPr>
        <w:t> is actief onder de aandacht gebracht en medewerkers hebben hieruit verschillende onderdelen gevolgd. Daarnaast wordt de Dag van de Foren</w:t>
      </w:r>
      <w:r>
        <w:rPr>
          <w:rFonts w:asciiTheme="minorHAnsi" w:hAnsiTheme="minorHAnsi" w:cstheme="minorHAnsi"/>
        </w:rPr>
        <w:t>s</w:t>
      </w:r>
      <w:r w:rsidRPr="006F1DBF">
        <w:rPr>
          <w:rFonts w:asciiTheme="minorHAnsi" w:hAnsiTheme="minorHAnsi" w:cstheme="minorHAnsi"/>
        </w:rPr>
        <w:t>ische Zorg jaarlijks bezocht door een aantal medewerkers, om zich te laten informeren over actuele ontwikkelingen en te netwerken met medewerkers van andere organisaties.  </w:t>
      </w:r>
    </w:p>
    <w:p w14:paraId="16351E9D" w14:textId="169AF680" w:rsidR="006F1DBF" w:rsidRPr="006F1DBF" w:rsidRDefault="006F1DBF" w:rsidP="006F1DBF">
      <w:pPr>
        <w:rPr>
          <w:rFonts w:asciiTheme="minorHAnsi" w:hAnsiTheme="minorHAnsi" w:cstheme="minorHAnsi"/>
        </w:rPr>
      </w:pPr>
      <w:r w:rsidRPr="006F1DBF">
        <w:rPr>
          <w:rFonts w:asciiTheme="minorHAnsi" w:hAnsiTheme="minorHAnsi" w:cstheme="minorHAnsi"/>
        </w:rPr>
        <w:t>Voor begeleiders in de beschermde woonvoorzieningen en ambulante thuisbegeleiding willen we in 2026 een aparte intervisiegroep opstarten.  </w:t>
      </w:r>
    </w:p>
    <w:p w14:paraId="339EDE79" w14:textId="207AAF04" w:rsidR="006F1DBF" w:rsidRPr="006F1DBF" w:rsidRDefault="006F1DBF" w:rsidP="006F1DBF">
      <w:pPr>
        <w:rPr>
          <w:rFonts w:asciiTheme="minorHAnsi" w:hAnsiTheme="minorHAnsi" w:cstheme="minorHAnsi"/>
        </w:rPr>
      </w:pPr>
      <w:r w:rsidRPr="006F1DBF">
        <w:rPr>
          <w:rFonts w:asciiTheme="minorHAnsi" w:hAnsiTheme="minorHAnsi" w:cstheme="minorHAnsi"/>
        </w:rPr>
        <w:t xml:space="preserve">Bij De Brug vindt intervisie </w:t>
      </w:r>
      <w:r w:rsidR="00301164">
        <w:rPr>
          <w:rFonts w:asciiTheme="minorHAnsi" w:hAnsiTheme="minorHAnsi" w:cstheme="minorHAnsi"/>
        </w:rPr>
        <w:t xml:space="preserve">en soms supervisie </w:t>
      </w:r>
      <w:r w:rsidRPr="006F1DBF">
        <w:rPr>
          <w:rFonts w:asciiTheme="minorHAnsi" w:hAnsiTheme="minorHAnsi" w:cstheme="minorHAnsi"/>
        </w:rPr>
        <w:t>plaats voor begeleiders in de BW-setting. </w:t>
      </w:r>
      <w:proofErr w:type="spellStart"/>
      <w:r w:rsidRPr="006F1DBF">
        <w:rPr>
          <w:rFonts w:asciiTheme="minorHAnsi" w:hAnsiTheme="minorHAnsi" w:cstheme="minorHAnsi"/>
        </w:rPr>
        <w:t>Regiebehandelaren</w:t>
      </w:r>
      <w:proofErr w:type="spellEnd"/>
      <w:r w:rsidRPr="006F1DBF">
        <w:rPr>
          <w:rFonts w:asciiTheme="minorHAnsi" w:hAnsiTheme="minorHAnsi" w:cstheme="minorHAnsi"/>
        </w:rPr>
        <w:t> zijn met name ZZP-er en organiseren hun eigen intervisie. Ook worden er door een verpleegkundig specialist klinische lessen gegeven aan begeleiders. Ter ondersteuning van cliënten op procedureel vlak is </w:t>
      </w:r>
      <w:proofErr w:type="spellStart"/>
      <w:r w:rsidRPr="006F1DBF">
        <w:rPr>
          <w:rFonts w:asciiTheme="minorHAnsi" w:hAnsiTheme="minorHAnsi" w:cstheme="minorHAnsi"/>
        </w:rPr>
        <w:t>sociaal-juridisch</w:t>
      </w:r>
      <w:proofErr w:type="spellEnd"/>
      <w:r w:rsidRPr="006F1DBF">
        <w:rPr>
          <w:rFonts w:asciiTheme="minorHAnsi" w:hAnsiTheme="minorHAnsi" w:cstheme="minorHAnsi"/>
        </w:rPr>
        <w:t> dienstverlener beschikbaar. Alle medewerkers volgen in elk geval de modules FARE, </w:t>
      </w:r>
      <w:proofErr w:type="spellStart"/>
      <w:r w:rsidRPr="006F1DBF">
        <w:rPr>
          <w:rFonts w:asciiTheme="minorHAnsi" w:hAnsiTheme="minorHAnsi" w:cstheme="minorHAnsi"/>
        </w:rPr>
        <w:t>delictscenario</w:t>
      </w:r>
      <w:proofErr w:type="spellEnd"/>
      <w:r w:rsidRPr="006F1DBF">
        <w:rPr>
          <w:rFonts w:asciiTheme="minorHAnsi" w:hAnsiTheme="minorHAnsi" w:cstheme="minorHAnsi"/>
        </w:rPr>
        <w:t> en motiverende gespreksvoering in de GGZ </w:t>
      </w:r>
      <w:proofErr w:type="spellStart"/>
      <w:r w:rsidRPr="006F1DBF">
        <w:rPr>
          <w:rFonts w:asciiTheme="minorHAnsi" w:hAnsiTheme="minorHAnsi" w:cstheme="minorHAnsi"/>
        </w:rPr>
        <w:t>Ecademy</w:t>
      </w:r>
      <w:proofErr w:type="spellEnd"/>
      <w:r w:rsidRPr="006F1DBF">
        <w:rPr>
          <w:rFonts w:asciiTheme="minorHAnsi" w:hAnsiTheme="minorHAnsi" w:cstheme="minorHAnsi"/>
        </w:rPr>
        <w:t>, als een vast onderdeel van het opleidingsplan. De meeste medewerkers hebben de forensische leerlijn van de GGZ </w:t>
      </w:r>
      <w:proofErr w:type="spellStart"/>
      <w:r w:rsidRPr="006F1DBF">
        <w:rPr>
          <w:rFonts w:asciiTheme="minorHAnsi" w:hAnsiTheme="minorHAnsi" w:cstheme="minorHAnsi"/>
        </w:rPr>
        <w:t>Ecademy</w:t>
      </w:r>
      <w:proofErr w:type="spellEnd"/>
      <w:r w:rsidRPr="006F1DBF">
        <w:rPr>
          <w:rFonts w:asciiTheme="minorHAnsi" w:hAnsiTheme="minorHAnsi" w:cstheme="minorHAnsi"/>
        </w:rPr>
        <w:t> volledig doorlopen. In 2026 zul</w:t>
      </w:r>
      <w:r w:rsidR="00301164">
        <w:rPr>
          <w:rFonts w:asciiTheme="minorHAnsi" w:hAnsiTheme="minorHAnsi" w:cstheme="minorHAnsi"/>
        </w:rPr>
        <w:t>len enkele</w:t>
      </w:r>
      <w:r w:rsidRPr="006F1DBF">
        <w:rPr>
          <w:rFonts w:asciiTheme="minorHAnsi" w:hAnsiTheme="minorHAnsi" w:cstheme="minorHAnsi"/>
        </w:rPr>
        <w:t xml:space="preserve"> medewerkers van De Brug aansluiten bij een training over de FARE die gegeven wordt bij De Hoop.  </w:t>
      </w:r>
      <w:r>
        <w:rPr>
          <w:rFonts w:asciiTheme="minorHAnsi" w:hAnsiTheme="minorHAnsi" w:cstheme="minorHAnsi"/>
        </w:rPr>
        <w:br/>
      </w:r>
    </w:p>
    <w:p w14:paraId="7E740D44" w14:textId="017059A5" w:rsidR="006F1DBF" w:rsidRPr="006F1DBF" w:rsidRDefault="006F1DBF" w:rsidP="006F1DBF">
      <w:pPr>
        <w:rPr>
          <w:rFonts w:asciiTheme="minorHAnsi" w:hAnsiTheme="minorHAnsi" w:cstheme="minorHAnsi"/>
        </w:rPr>
      </w:pPr>
      <w:r w:rsidRPr="006F1DBF">
        <w:rPr>
          <w:rFonts w:asciiTheme="minorHAnsi" w:hAnsiTheme="minorHAnsi" w:cstheme="minorHAnsi"/>
          <w:b/>
          <w:bCs/>
        </w:rPr>
        <w:t>Opleidingsplan </w:t>
      </w:r>
      <w:r w:rsidRPr="006F1DBF">
        <w:rPr>
          <w:rFonts w:asciiTheme="minorHAnsi" w:hAnsiTheme="minorHAnsi" w:cstheme="minorHAnsi"/>
          <w:noProof/>
        </w:rPr>
        <w:drawing>
          <wp:inline distT="0" distB="0" distL="0" distR="0" wp14:anchorId="6888B821" wp14:editId="74D84B26">
            <wp:extent cx="333375" cy="133350"/>
            <wp:effectExtent l="0" t="0" r="9525" b="0"/>
            <wp:docPr id="1114454233" name="Afbeelding 235" descr="1.400+ Groen Stoplicht Stockillustraties, royalty-free vector illustraties  en clipart - iStock | Rood stoplicht, Oranje stoplicht, Red traffic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descr="1.400+ Groen Stoplicht Stockillustraties, royalty-free vector illustraties  en clipart - iStock | Rood stoplicht, Oranje stoplicht, Red traffic ligh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 cy="133350"/>
                    </a:xfrm>
                    <a:prstGeom prst="rect">
                      <a:avLst/>
                    </a:prstGeom>
                    <a:noFill/>
                    <a:ln>
                      <a:noFill/>
                    </a:ln>
                  </pic:spPr>
                </pic:pic>
              </a:graphicData>
            </a:graphic>
          </wp:inline>
        </w:drawing>
      </w:r>
      <w:r w:rsidRPr="006F1DBF">
        <w:rPr>
          <w:rFonts w:asciiTheme="minorHAnsi" w:hAnsiTheme="minorHAnsi" w:cstheme="minorHAnsi"/>
        </w:rPr>
        <w:t> </w:t>
      </w:r>
      <w:r>
        <w:rPr>
          <w:rFonts w:asciiTheme="minorHAnsi" w:hAnsiTheme="minorHAnsi" w:cstheme="minorHAnsi"/>
        </w:rPr>
        <w:br/>
      </w:r>
      <w:r w:rsidRPr="006F1DBF">
        <w:rPr>
          <w:rFonts w:asciiTheme="minorHAnsi" w:hAnsiTheme="minorHAnsi" w:cstheme="minorHAnsi"/>
        </w:rPr>
        <w:t>In 2025 is geïnventariseerd welke opleidingsbehoeftes er organisatie-breed zijn en welke mogelijkheden er zijn op het gebied van training en opleiding. Vanuit de organisatie is ingezet op een opleidingsplan gericht op verschillende werkplekken (klinisch, BW, ambulant) en niet specifiek op zorgaanbod. Dit betekent dat er geen opzichzelfstaand opleidingsplan voor de forensische zorg gemaakt wordt, maar wordt aangesloten bij het opleidingsplan dat van toepassing is op de verschillende zorgsoorten. Voor de forensische scholingen is in 2025 een opzet gemaakt, die verder zal worden uitgewerkt in 2026. Er zal bij de concretisering van het opleidingsplan rekening gehouden worden met de scholingsbehoefte vanuit de organisatie (bijv. risicotaxatie) en ontwikkelingsgericht vanuit de medewerkers. Op het gebied van klinisch werken geven behandelaren en sociotherapeuten bijvoorbeeld aan dat zij meer toegerust willen worden op agressiehantering en </w:t>
      </w:r>
      <w:proofErr w:type="spellStart"/>
      <w:r w:rsidRPr="006F1DBF">
        <w:rPr>
          <w:rFonts w:asciiTheme="minorHAnsi" w:hAnsiTheme="minorHAnsi" w:cstheme="minorHAnsi"/>
        </w:rPr>
        <w:t>grensopzoekend</w:t>
      </w:r>
      <w:proofErr w:type="spellEnd"/>
      <w:r w:rsidRPr="006F1DBF">
        <w:rPr>
          <w:rFonts w:asciiTheme="minorHAnsi" w:hAnsiTheme="minorHAnsi" w:cstheme="minorHAnsi"/>
        </w:rPr>
        <w:t> gedrag. De benodigde scholing kan op verschillende manieren vorm krijgen, bijvoorbeeld intervisie, e-</w:t>
      </w:r>
      <w:proofErr w:type="spellStart"/>
      <w:r w:rsidRPr="006F1DBF">
        <w:rPr>
          <w:rFonts w:asciiTheme="minorHAnsi" w:hAnsiTheme="minorHAnsi" w:cstheme="minorHAnsi"/>
        </w:rPr>
        <w:t>learning</w:t>
      </w:r>
      <w:proofErr w:type="spellEnd"/>
      <w:r w:rsidRPr="006F1DBF">
        <w:rPr>
          <w:rFonts w:asciiTheme="minorHAnsi" w:hAnsiTheme="minorHAnsi" w:cstheme="minorHAnsi"/>
        </w:rPr>
        <w:t> en cursussen.  </w:t>
      </w:r>
    </w:p>
    <w:p w14:paraId="452DE7CF" w14:textId="77777777" w:rsidR="006F1DBF" w:rsidRDefault="006F1DBF" w:rsidP="006F1DBF">
      <w:pPr>
        <w:rPr>
          <w:rFonts w:asciiTheme="minorHAnsi" w:hAnsiTheme="minorHAnsi" w:cstheme="minorHAnsi"/>
        </w:rPr>
      </w:pPr>
      <w:r w:rsidRPr="006F1DBF">
        <w:rPr>
          <w:rFonts w:asciiTheme="minorHAnsi" w:hAnsiTheme="minorHAnsi" w:cstheme="minorHAnsi"/>
        </w:rPr>
        <w:lastRenderedPageBreak/>
        <w:t>In 2026 komt de inwerktool van het EFP voor nieuwe medewerkers in de forensische zorg beschikbaar. Deze inwerktool willen we implementeren in de organisatie door een inwerkprogramma te ontwikkelen voor nieuwe collega's en daarnaast borgen in het </w:t>
      </w:r>
      <w:proofErr w:type="spellStart"/>
      <w:r w:rsidRPr="006F1DBF">
        <w:rPr>
          <w:rFonts w:asciiTheme="minorHAnsi" w:hAnsiTheme="minorHAnsi" w:cstheme="minorHAnsi"/>
        </w:rPr>
        <w:t>ontwikkelingspad</w:t>
      </w:r>
      <w:proofErr w:type="spellEnd"/>
      <w:r w:rsidRPr="006F1DBF">
        <w:rPr>
          <w:rFonts w:asciiTheme="minorHAnsi" w:hAnsiTheme="minorHAnsi" w:cstheme="minorHAnsi"/>
        </w:rPr>
        <w:t> van bestaande collega's die forensische zorg gaan bieden. </w:t>
      </w:r>
    </w:p>
    <w:p w14:paraId="6D1A6165" w14:textId="12714084" w:rsidR="006F1DBF" w:rsidRPr="006F1DBF" w:rsidRDefault="006F1DBF" w:rsidP="006F1DBF">
      <w:pPr>
        <w:rPr>
          <w:rFonts w:asciiTheme="minorHAnsi" w:hAnsiTheme="minorHAnsi" w:cstheme="minorHAnsi"/>
        </w:rPr>
      </w:pPr>
      <w:r w:rsidRPr="006F1DBF">
        <w:rPr>
          <w:rFonts w:asciiTheme="minorHAnsi" w:hAnsiTheme="minorHAnsi" w:cstheme="minorHAnsi"/>
        </w:rPr>
        <w:t>Voor medewerkers bij De Brug is het doorlopen van de forensische leerlijn in de GGZ </w:t>
      </w:r>
      <w:proofErr w:type="spellStart"/>
      <w:r w:rsidRPr="006F1DBF">
        <w:rPr>
          <w:rFonts w:asciiTheme="minorHAnsi" w:hAnsiTheme="minorHAnsi" w:cstheme="minorHAnsi"/>
        </w:rPr>
        <w:t>Ecademy</w:t>
      </w:r>
      <w:proofErr w:type="spellEnd"/>
      <w:r w:rsidRPr="006F1DBF">
        <w:rPr>
          <w:rFonts w:asciiTheme="minorHAnsi" w:hAnsiTheme="minorHAnsi" w:cstheme="minorHAnsi"/>
        </w:rPr>
        <w:t> een vast onderdeel van het opleidingsplan. Begeleiders die geïnteresseerd zijn kunnen de hbo-opleiding tot GGZ-agoog volgen. De komende jaren zal De Brug waar dat mogelijk en passend is aanhaken bij trainingen die binnen De Hoop gevolgd worden. </w:t>
      </w:r>
      <w:r w:rsidRPr="006F1DBF">
        <w:rPr>
          <w:rFonts w:asciiTheme="minorHAnsi" w:hAnsiTheme="minorHAnsi" w:cstheme="minorHAnsi"/>
        </w:rPr>
        <w:br/>
        <w:t> </w:t>
      </w:r>
    </w:p>
    <w:p w14:paraId="28174033" w14:textId="42F58A9A" w:rsidR="006F1DBF" w:rsidRPr="006F1DBF" w:rsidRDefault="006F1DBF" w:rsidP="006F1DBF">
      <w:pPr>
        <w:rPr>
          <w:rFonts w:asciiTheme="minorHAnsi" w:hAnsiTheme="minorHAnsi" w:cstheme="minorHAnsi"/>
        </w:rPr>
      </w:pPr>
      <w:r w:rsidRPr="006F1DBF">
        <w:rPr>
          <w:rFonts w:asciiTheme="minorHAnsi" w:hAnsiTheme="minorHAnsi" w:cstheme="minorHAnsi"/>
          <w:b/>
          <w:bCs/>
        </w:rPr>
        <w:t>Ervaringsdeskundigheid </w:t>
      </w:r>
      <w:r w:rsidRPr="006F1DBF">
        <w:rPr>
          <w:rFonts w:asciiTheme="minorHAnsi" w:hAnsiTheme="minorHAnsi" w:cstheme="minorHAnsi"/>
          <w:noProof/>
        </w:rPr>
        <w:drawing>
          <wp:inline distT="0" distB="0" distL="0" distR="0" wp14:anchorId="1750E38F" wp14:editId="2B03919A">
            <wp:extent cx="333375" cy="133350"/>
            <wp:effectExtent l="0" t="0" r="9525" b="0"/>
            <wp:docPr id="461805117" name="Afbeelding 238" descr="1.400+ Groen Stoplicht Stockillustraties, royalty-free vector illustraties  en clipart - iStock | Rood stoplicht, Oranje stoplicht, Red traffic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descr="1.400+ Groen Stoplicht Stockillustraties, royalty-free vector illustraties  en clipart - iStock | Rood stoplicht, Oranje stoplicht, Red traffic ligh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 cy="133350"/>
                    </a:xfrm>
                    <a:prstGeom prst="rect">
                      <a:avLst/>
                    </a:prstGeom>
                    <a:noFill/>
                    <a:ln>
                      <a:noFill/>
                    </a:ln>
                  </pic:spPr>
                </pic:pic>
              </a:graphicData>
            </a:graphic>
          </wp:inline>
        </w:drawing>
      </w:r>
      <w:r w:rsidRPr="006F1DBF">
        <w:rPr>
          <w:rFonts w:asciiTheme="minorHAnsi" w:hAnsiTheme="minorHAnsi" w:cstheme="minorHAnsi"/>
        </w:rPr>
        <w:t> </w:t>
      </w:r>
    </w:p>
    <w:p w14:paraId="1F06BC92" w14:textId="77777777" w:rsidR="006F1DBF" w:rsidRPr="006F1DBF" w:rsidRDefault="006F1DBF" w:rsidP="006F1DBF">
      <w:pPr>
        <w:rPr>
          <w:rFonts w:asciiTheme="minorHAnsi" w:hAnsiTheme="minorHAnsi" w:cstheme="minorHAnsi"/>
        </w:rPr>
      </w:pPr>
      <w:r w:rsidRPr="006F1DBF">
        <w:rPr>
          <w:rFonts w:asciiTheme="minorHAnsi" w:hAnsiTheme="minorHAnsi" w:cstheme="minorHAnsi"/>
        </w:rPr>
        <w:t>Voor de inzet van ervaringsdeskundigen worden landelijk nog kaders en tools ontwikkeld. De verwachting is dat deze in 2026 beschikbaar komen. Zo ver mogelijk willen we voorsorteren op deze landelijke ontwikkelingen. Met de inzet van ervaringsdeskundigen sluiten we aan op de ervarings- en belevingswereld van cliënten. Dit doen we op individueel niveau door de inzet van motiverende gespreksvoering en vanaf 2026 op groepsniveau door het aanbieden van herstelgroepen in de klinische setting. In deze bijeenkomsten staan thema’s als resocialisatie, herstelgerichte activiteiten en het opbouwen van een gezond netwerk centraal. </w:t>
      </w:r>
    </w:p>
    <w:p w14:paraId="607CF0EC" w14:textId="42320BE7" w:rsidR="006F1DBF" w:rsidRDefault="006F1DBF" w:rsidP="006F1DBF">
      <w:pPr>
        <w:rPr>
          <w:rFonts w:asciiTheme="minorHAnsi" w:hAnsiTheme="minorHAnsi" w:cstheme="minorHAnsi"/>
        </w:rPr>
      </w:pPr>
      <w:r w:rsidRPr="006F1DBF">
        <w:rPr>
          <w:rFonts w:asciiTheme="minorHAnsi" w:hAnsiTheme="minorHAnsi" w:cstheme="minorHAnsi"/>
        </w:rPr>
        <w:t>Bij De Brug werken twee ervaringsdeskundigen, die wanneer cliënten dit wensen en het passend is in hun behandeling, aanvullend op de ambulante behandeling of begeleiding inzetbaar zijn. De ervaringsdeskundigen zijn ook regelmatig aanwezig op de BW- en dagbestedingsgroepen. In 2026 zullen de ervaringsdeskundigen verder getraind worden bij De Hoop in herstelgericht werken en motiverende gespreksvoering.  </w:t>
      </w:r>
    </w:p>
    <w:p w14:paraId="14FF69DF" w14:textId="77777777" w:rsidR="006F1DBF" w:rsidRDefault="006F1DBF">
      <w:pPr>
        <w:rPr>
          <w:rFonts w:asciiTheme="minorHAnsi" w:hAnsiTheme="minorHAnsi" w:cstheme="minorHAnsi"/>
        </w:rPr>
      </w:pPr>
      <w:r>
        <w:rPr>
          <w:rFonts w:asciiTheme="minorHAnsi" w:hAnsiTheme="minorHAnsi" w:cstheme="minorHAnsi"/>
        </w:rPr>
        <w:br w:type="page"/>
      </w:r>
    </w:p>
    <w:p w14:paraId="743C4E8B" w14:textId="02C523D6" w:rsidR="006F1DBF" w:rsidRPr="006F1DBF" w:rsidRDefault="006F1DBF" w:rsidP="006F1DBF">
      <w:pPr>
        <w:rPr>
          <w:rFonts w:asciiTheme="minorHAnsi" w:hAnsiTheme="minorHAnsi" w:cstheme="minorHAnsi"/>
          <w:sz w:val="28"/>
          <w:szCs w:val="28"/>
        </w:rPr>
      </w:pPr>
      <w:r w:rsidRPr="006F1DBF">
        <w:rPr>
          <w:rFonts w:asciiTheme="minorHAnsi" w:hAnsiTheme="minorHAnsi" w:cstheme="minorHAnsi"/>
          <w:b/>
          <w:bCs/>
          <w:sz w:val="24"/>
          <w:szCs w:val="24"/>
        </w:rPr>
        <w:lastRenderedPageBreak/>
        <w:t>4.3 Pijler 3: Organisatie van zorg</w:t>
      </w:r>
      <w:r w:rsidRPr="006F1DBF">
        <w:rPr>
          <w:rFonts w:asciiTheme="minorHAnsi" w:hAnsiTheme="minorHAnsi" w:cstheme="minorHAnsi"/>
          <w:sz w:val="24"/>
          <w:szCs w:val="24"/>
        </w:rPr>
        <w:t> </w:t>
      </w:r>
      <w:r>
        <w:rPr>
          <w:rFonts w:asciiTheme="minorHAnsi" w:hAnsiTheme="minorHAnsi" w:cstheme="minorHAnsi"/>
          <w:sz w:val="28"/>
          <w:szCs w:val="28"/>
        </w:rPr>
        <w:br/>
      </w:r>
      <w:r w:rsidRPr="006F1DBF">
        <w:rPr>
          <w:rFonts w:asciiTheme="minorHAnsi" w:hAnsiTheme="minorHAnsi" w:cstheme="minorHAnsi"/>
        </w:rPr>
        <w:t>De pijler Organisatie van zorg is uitgewerkt in 4 thema's: Kwaliteitsmanagementsysteem, Lerende cyclus, Cliëntmetingen en Medewerkersmetingen. </w:t>
      </w:r>
    </w:p>
    <w:p w14:paraId="760E17F1" w14:textId="583581CA" w:rsidR="006F1DBF" w:rsidRPr="006F1DBF" w:rsidRDefault="006F1DBF" w:rsidP="006F1DBF">
      <w:pPr>
        <w:rPr>
          <w:rFonts w:asciiTheme="minorHAnsi" w:hAnsiTheme="minorHAnsi" w:cstheme="minorHAnsi"/>
        </w:rPr>
      </w:pPr>
      <w:r w:rsidRPr="006F1DBF">
        <w:rPr>
          <w:rFonts w:asciiTheme="minorHAnsi" w:hAnsiTheme="minorHAnsi" w:cstheme="minorHAnsi"/>
          <w:b/>
          <w:bCs/>
        </w:rPr>
        <w:t>Kwaliteitsmanagementsysteem en Lerende cyclus </w:t>
      </w:r>
      <w:r w:rsidRPr="006F1DBF">
        <w:rPr>
          <w:rFonts w:asciiTheme="minorHAnsi" w:hAnsiTheme="minorHAnsi" w:cstheme="minorHAnsi"/>
          <w:noProof/>
        </w:rPr>
        <w:drawing>
          <wp:inline distT="0" distB="0" distL="0" distR="0" wp14:anchorId="4DE1B491" wp14:editId="44D22CF1">
            <wp:extent cx="342900" cy="152400"/>
            <wp:effectExtent l="0" t="0" r="0" b="0"/>
            <wp:docPr id="1453772958" name="Afbeelding 242" descr="1.400+ Groen Stoplicht Stockillustraties, royalty-free vector illustraties  en clipart - iStock | Rood stoplicht, Oranje stoplicht, Red traffic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descr="1.400+ Groen Stoplicht Stockillustraties, royalty-free vector illustraties  en clipart - iStock | Rood stoplicht, Oranje stoplicht, Red traffic ligh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 cy="152400"/>
                    </a:xfrm>
                    <a:prstGeom prst="rect">
                      <a:avLst/>
                    </a:prstGeom>
                    <a:noFill/>
                    <a:ln>
                      <a:noFill/>
                    </a:ln>
                  </pic:spPr>
                </pic:pic>
              </a:graphicData>
            </a:graphic>
          </wp:inline>
        </w:drawing>
      </w:r>
      <w:r w:rsidRPr="006F1DBF">
        <w:rPr>
          <w:rFonts w:asciiTheme="minorHAnsi" w:hAnsiTheme="minorHAnsi" w:cstheme="minorHAnsi"/>
        </w:rPr>
        <w:t> </w:t>
      </w:r>
      <w:r>
        <w:rPr>
          <w:rFonts w:asciiTheme="minorHAnsi" w:hAnsiTheme="minorHAnsi" w:cstheme="minorHAnsi"/>
        </w:rPr>
        <w:br/>
      </w:r>
      <w:r w:rsidRPr="006F1DBF">
        <w:rPr>
          <w:rFonts w:asciiTheme="minorHAnsi" w:hAnsiTheme="minorHAnsi" w:cstheme="minorHAnsi"/>
        </w:rPr>
        <w:t>De Hoop heeft een uitgebreid kwaliteits- en veiligheidsmanagementsysteem, dat jaarlijks wordt getoetst middels een directiebeoordeling. We zijn HKZ-gecertificeerd en beschikken over een NEN-7510-certificaat. Voor deze keurmerken worden jaarlijks zowel interne als externe audits afgenomen. Naast de uitkomsten van de audits wordt ook vanuit het Veilig Incident Melden (VIM) systeem, opvolging van klachten en uitkomsten van het cliënttevredenheidsonderzoek (CTO) en medewerkerstevredenheidsonderzoek (MTO) kwaliteitsinformatie verzameld. De organisatie heeft voor de uitkomsten van de meetgegevens een verbetercyclus. In het opstellen van de jaarplannen worden de uitkomsten van de verschillende onderzoeken meegenomen. Zo is er jaarlijks opvolging van de verbeterpunten uit de verschillende onderzoeken en rapportages in de vorm van de d</w:t>
      </w:r>
      <w:r>
        <w:rPr>
          <w:rFonts w:asciiTheme="minorHAnsi" w:hAnsiTheme="minorHAnsi" w:cstheme="minorHAnsi"/>
        </w:rPr>
        <w:t>i</w:t>
      </w:r>
      <w:r w:rsidRPr="006F1DBF">
        <w:rPr>
          <w:rFonts w:asciiTheme="minorHAnsi" w:hAnsiTheme="minorHAnsi" w:cstheme="minorHAnsi"/>
        </w:rPr>
        <w:t>rectiebeoordeling.  </w:t>
      </w:r>
    </w:p>
    <w:p w14:paraId="15B97EC0" w14:textId="77777777" w:rsidR="006F1DBF" w:rsidRPr="006F1DBF" w:rsidRDefault="006F1DBF" w:rsidP="006F1DBF">
      <w:pPr>
        <w:rPr>
          <w:rFonts w:asciiTheme="minorHAnsi" w:hAnsiTheme="minorHAnsi" w:cstheme="minorHAnsi"/>
        </w:rPr>
      </w:pPr>
      <w:r w:rsidRPr="006F1DBF">
        <w:rPr>
          <w:rFonts w:asciiTheme="minorHAnsi" w:hAnsiTheme="minorHAnsi" w:cstheme="minorHAnsi"/>
        </w:rPr>
        <w:t>In 2025 zijn de HKZ-audits bij De Hoop en De Brug gezamenlijk afgenomen. De Brug werkt volgens de NEN-7510 en neemt gecertificeerde ICT-diensten af van De Hoop. Momenteel wordt gewerkt met een eigen VIM methodiek. Op termijn zal De Brug mogelijk aansluiten bij het VIM-systeem van De Hoop.  </w:t>
      </w:r>
    </w:p>
    <w:p w14:paraId="08404B85" w14:textId="77777777" w:rsidR="006F1DBF" w:rsidRPr="006F1DBF" w:rsidRDefault="006F1DBF" w:rsidP="006F1DBF">
      <w:pPr>
        <w:rPr>
          <w:rFonts w:asciiTheme="minorHAnsi" w:hAnsiTheme="minorHAnsi" w:cstheme="minorHAnsi"/>
        </w:rPr>
      </w:pPr>
      <w:r w:rsidRPr="006F1DBF">
        <w:rPr>
          <w:rFonts w:asciiTheme="minorHAnsi" w:hAnsiTheme="minorHAnsi" w:cstheme="minorHAnsi"/>
        </w:rPr>
        <w:t> </w:t>
      </w:r>
    </w:p>
    <w:p w14:paraId="228528FD" w14:textId="62EFF4C4" w:rsidR="006F1DBF" w:rsidRPr="006F1DBF" w:rsidRDefault="006F1DBF" w:rsidP="006F1DBF">
      <w:pPr>
        <w:rPr>
          <w:rFonts w:asciiTheme="minorHAnsi" w:hAnsiTheme="minorHAnsi" w:cstheme="minorHAnsi"/>
        </w:rPr>
      </w:pPr>
      <w:r w:rsidRPr="006F1DBF">
        <w:rPr>
          <w:rFonts w:asciiTheme="minorHAnsi" w:hAnsiTheme="minorHAnsi" w:cstheme="minorHAnsi"/>
          <w:b/>
          <w:bCs/>
        </w:rPr>
        <w:t>Cliëntmetingen en Medewerkersmetingen </w:t>
      </w:r>
      <w:r w:rsidRPr="006F1DBF">
        <w:rPr>
          <w:rFonts w:asciiTheme="minorHAnsi" w:hAnsiTheme="minorHAnsi" w:cstheme="minorHAnsi"/>
          <w:noProof/>
        </w:rPr>
        <w:drawing>
          <wp:inline distT="0" distB="0" distL="0" distR="0" wp14:anchorId="66D90D58" wp14:editId="780B871A">
            <wp:extent cx="333375" cy="133350"/>
            <wp:effectExtent l="0" t="0" r="9525" b="0"/>
            <wp:docPr id="1479381989" name="Afbeelding 241" descr="1.400+ Groen Stoplicht Stockillustraties, royalty-free vector illustraties  en clipart - iStock | Rood stoplicht, Oranje stoplicht, Red traffic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descr="1.400+ Groen Stoplicht Stockillustraties, royalty-free vector illustraties  en clipart - iStock | Rood stoplicht, Oranje stoplicht, Red traffic ligh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 cy="133350"/>
                    </a:xfrm>
                    <a:prstGeom prst="rect">
                      <a:avLst/>
                    </a:prstGeom>
                    <a:noFill/>
                    <a:ln>
                      <a:noFill/>
                    </a:ln>
                  </pic:spPr>
                </pic:pic>
              </a:graphicData>
            </a:graphic>
          </wp:inline>
        </w:drawing>
      </w:r>
      <w:r w:rsidRPr="006F1DBF">
        <w:rPr>
          <w:rFonts w:asciiTheme="minorHAnsi" w:hAnsiTheme="minorHAnsi" w:cstheme="minorHAnsi"/>
        </w:rPr>
        <w:t> </w:t>
      </w:r>
      <w:r>
        <w:rPr>
          <w:rFonts w:asciiTheme="minorHAnsi" w:hAnsiTheme="minorHAnsi" w:cstheme="minorHAnsi"/>
        </w:rPr>
        <w:br/>
      </w:r>
      <w:r w:rsidRPr="006F1DBF">
        <w:rPr>
          <w:rFonts w:asciiTheme="minorHAnsi" w:hAnsiTheme="minorHAnsi" w:cstheme="minorHAnsi"/>
        </w:rPr>
        <w:t>De uitkomsten van tevredenheidsmetingen onder cliënten en medewerkers worden gepubliceerd op de website. Door het beperkte aandeel forensische cliënten en het gespikkeld aanbieden van deze zorg in onze organisaties zijn de aantallen te klein voor publicatie van specifieke uitkomsten in de forensische zorg. In 2023 is binnen De Hoop een werkgroep opgezet om in te zetten op </w:t>
      </w:r>
      <w:proofErr w:type="spellStart"/>
      <w:r w:rsidRPr="006F1DBF">
        <w:rPr>
          <w:rFonts w:asciiTheme="minorHAnsi" w:hAnsiTheme="minorHAnsi" w:cstheme="minorHAnsi"/>
        </w:rPr>
        <w:t>organisatiebrede</w:t>
      </w:r>
      <w:proofErr w:type="spellEnd"/>
      <w:r w:rsidRPr="006F1DBF">
        <w:rPr>
          <w:rFonts w:asciiTheme="minorHAnsi" w:hAnsiTheme="minorHAnsi" w:cstheme="minorHAnsi"/>
        </w:rPr>
        <w:t> verhoging van het responspercentage van de cliënttevredenheidsmetingen. Dit heeft voldoende resultaat opgeleverd voor de ambulante en klinische behandeling, waar we in de achterliggende jaren een stijgende lijn zien.  </w:t>
      </w:r>
    </w:p>
    <w:p w14:paraId="69823B90" w14:textId="77777777" w:rsidR="006F1DBF" w:rsidRDefault="006F1DBF" w:rsidP="006F1DBF">
      <w:pPr>
        <w:rPr>
          <w:rFonts w:asciiTheme="minorHAnsi" w:hAnsiTheme="minorHAnsi" w:cstheme="minorHAnsi"/>
        </w:rPr>
      </w:pPr>
      <w:r w:rsidRPr="006F1DBF">
        <w:rPr>
          <w:rFonts w:asciiTheme="minorHAnsi" w:hAnsiTheme="minorHAnsi" w:cstheme="minorHAnsi"/>
        </w:rPr>
        <w:t>Het responspercentage voor de divisie Wonen bleef echter achter. Naar aanleiding daarvan is nader onderzoek ingesteld om te achterhalen wat hier de oorzaken van zijn. Hierbij is de conclusie getrokken dat de doelgroep die in de BW verblijft en langdurige zorg nodig heeft een andere is dan die gebruik maakt van alleen de curatieve zorg. Dit betreft een kwetsbare doelgroep waarbij naast verslaving en/of psychiatrische problemen en het in aanraking komen met justitie ook sprake is van beneden gemiddelde intelligentie of zelfs van een licht verstandelijke beperking (LVB). Dit heeft tot gevolg dat de digitale vaardigheden van deze doelgroep beperkt zijn en dat toegang tot het EPD-systeem om de tevredenheidsmeting in te vullen als grote drempel wordt ervaren. Daarnaast is deze vragenlijst door de gebruikte terminologie en de omvang (70 vragen) zeer gebruiksonvriendelijk. In 2024 is daarom de oorspronkelijke CQI-vragenlijst voor Wonen aangepast. De lijst is ingekort en sluit qua taalgebruik beter aan bij de doelgroep. Om het invullen van de vragenlijst te vergemakkelijken is ervoor gekozen om de vragenlijst uit te zetten via Minddistrict in plaats van via het EPD-systeem. De ervaringen met het gebruik van de nieuwe lijst zijn positief. </w:t>
      </w:r>
    </w:p>
    <w:p w14:paraId="5E842F76" w14:textId="77777777" w:rsidR="006F1DBF" w:rsidRDefault="006F1DBF" w:rsidP="006F1DBF">
      <w:pPr>
        <w:rPr>
          <w:rFonts w:asciiTheme="minorHAnsi" w:hAnsiTheme="minorHAnsi" w:cstheme="minorHAnsi"/>
        </w:rPr>
      </w:pPr>
    </w:p>
    <w:p w14:paraId="5465BC73" w14:textId="77777777" w:rsidR="006F1DBF" w:rsidRDefault="006F1DBF" w:rsidP="006F1DBF">
      <w:pPr>
        <w:rPr>
          <w:rFonts w:asciiTheme="minorHAnsi" w:hAnsiTheme="minorHAnsi" w:cstheme="minorHAnsi"/>
        </w:rPr>
      </w:pPr>
    </w:p>
    <w:p w14:paraId="0FC5BD1C" w14:textId="77777777" w:rsidR="006F1DBF" w:rsidRDefault="006F1DBF" w:rsidP="006F1DBF">
      <w:pPr>
        <w:rPr>
          <w:rFonts w:asciiTheme="minorHAnsi" w:hAnsiTheme="minorHAnsi" w:cstheme="minorHAnsi"/>
        </w:rPr>
      </w:pPr>
    </w:p>
    <w:p w14:paraId="53311210" w14:textId="77777777" w:rsidR="006F1DBF" w:rsidRDefault="006F1DBF" w:rsidP="006F1DBF">
      <w:pPr>
        <w:rPr>
          <w:rFonts w:asciiTheme="minorHAnsi" w:hAnsiTheme="minorHAnsi" w:cstheme="minorHAnsi"/>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1575"/>
        <w:gridCol w:w="1680"/>
        <w:gridCol w:w="1740"/>
        <w:gridCol w:w="1770"/>
      </w:tblGrid>
      <w:tr w:rsidR="006F1DBF" w:rsidRPr="006F1DBF" w14:paraId="3182ECAA" w14:textId="77777777">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FDC300"/>
            <w:hideMark/>
          </w:tcPr>
          <w:p w14:paraId="09DD4AFE" w14:textId="77777777" w:rsidR="006F1DBF" w:rsidRPr="006F1DBF" w:rsidRDefault="006F1DBF" w:rsidP="006F1DBF">
            <w:pPr>
              <w:spacing w:after="0" w:line="240" w:lineRule="auto"/>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i/>
                <w:iCs/>
                <w:kern w:val="0"/>
                <w:sz w:val="20"/>
                <w:szCs w:val="20"/>
                <w:lang w:eastAsia="nl-NL"/>
                <w14:ligatures w14:val="none"/>
              </w:rPr>
              <w:lastRenderedPageBreak/>
              <w:t>De Hoop</w:t>
            </w:r>
            <w:r w:rsidRPr="006F1DBF">
              <w:rPr>
                <w:rFonts w:ascii="Calibri" w:eastAsia="Times New Roman" w:hAnsi="Calibri" w:cs="Calibri"/>
                <w:kern w:val="0"/>
                <w:sz w:val="20"/>
                <w:szCs w:val="20"/>
                <w:lang w:eastAsia="nl-NL"/>
                <w14:ligatures w14:val="none"/>
              </w:rPr>
              <w:t> </w:t>
            </w:r>
          </w:p>
        </w:tc>
        <w:tc>
          <w:tcPr>
            <w:tcW w:w="1575" w:type="dxa"/>
            <w:tcBorders>
              <w:top w:val="single" w:sz="6" w:space="0" w:color="000000"/>
              <w:left w:val="single" w:sz="6" w:space="0" w:color="000000"/>
              <w:bottom w:val="single" w:sz="6" w:space="0" w:color="000000"/>
              <w:right w:val="single" w:sz="6" w:space="0" w:color="000000"/>
            </w:tcBorders>
            <w:shd w:val="clear" w:color="auto" w:fill="FDC300"/>
            <w:hideMark/>
          </w:tcPr>
          <w:p w14:paraId="0992A634" w14:textId="77777777" w:rsidR="006F1DBF" w:rsidRPr="006F1DBF" w:rsidRDefault="006F1DBF" w:rsidP="006F1DBF">
            <w:pPr>
              <w:spacing w:after="0" w:line="240" w:lineRule="auto"/>
              <w:jc w:val="center"/>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b/>
                <w:bCs/>
                <w:kern w:val="0"/>
                <w:sz w:val="20"/>
                <w:szCs w:val="20"/>
                <w:lang w:eastAsia="nl-NL"/>
                <w14:ligatures w14:val="none"/>
              </w:rPr>
              <w:t>2022 N-waarde</w:t>
            </w:r>
            <w:r w:rsidRPr="006F1DBF">
              <w:rPr>
                <w:rFonts w:ascii="Calibri" w:eastAsia="Times New Roman" w:hAnsi="Calibri" w:cs="Calibri"/>
                <w:kern w:val="0"/>
                <w:sz w:val="20"/>
                <w:szCs w:val="20"/>
                <w:lang w:eastAsia="nl-NL"/>
                <w14:ligatures w14:val="none"/>
              </w:rPr>
              <w:t> </w:t>
            </w:r>
          </w:p>
        </w:tc>
        <w:tc>
          <w:tcPr>
            <w:tcW w:w="1680" w:type="dxa"/>
            <w:tcBorders>
              <w:top w:val="single" w:sz="6" w:space="0" w:color="000000"/>
              <w:left w:val="single" w:sz="6" w:space="0" w:color="000000"/>
              <w:bottom w:val="single" w:sz="6" w:space="0" w:color="000000"/>
              <w:right w:val="single" w:sz="6" w:space="0" w:color="000000"/>
            </w:tcBorders>
            <w:shd w:val="clear" w:color="auto" w:fill="FDC300"/>
            <w:hideMark/>
          </w:tcPr>
          <w:p w14:paraId="59FEC7A5" w14:textId="77777777" w:rsidR="006F1DBF" w:rsidRPr="006F1DBF" w:rsidRDefault="006F1DBF" w:rsidP="006F1DBF">
            <w:pPr>
              <w:spacing w:after="0" w:line="240" w:lineRule="auto"/>
              <w:jc w:val="center"/>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b/>
                <w:bCs/>
                <w:kern w:val="0"/>
                <w:sz w:val="20"/>
                <w:szCs w:val="20"/>
                <w:lang w:eastAsia="nl-NL"/>
                <w14:ligatures w14:val="none"/>
              </w:rPr>
              <w:t>2023 N-waarde</w:t>
            </w:r>
            <w:r w:rsidRPr="006F1DBF">
              <w:rPr>
                <w:rFonts w:ascii="Calibri" w:eastAsia="Times New Roman" w:hAnsi="Calibri" w:cs="Calibri"/>
                <w:kern w:val="0"/>
                <w:sz w:val="20"/>
                <w:szCs w:val="20"/>
                <w:lang w:eastAsia="nl-NL"/>
                <w14:ligatures w14:val="none"/>
              </w:rPr>
              <w:t> </w:t>
            </w:r>
          </w:p>
        </w:tc>
        <w:tc>
          <w:tcPr>
            <w:tcW w:w="1740" w:type="dxa"/>
            <w:tcBorders>
              <w:top w:val="single" w:sz="6" w:space="0" w:color="000000"/>
              <w:left w:val="single" w:sz="6" w:space="0" w:color="000000"/>
              <w:bottom w:val="single" w:sz="6" w:space="0" w:color="000000"/>
              <w:right w:val="single" w:sz="6" w:space="0" w:color="000000"/>
            </w:tcBorders>
            <w:shd w:val="clear" w:color="auto" w:fill="FDC300"/>
            <w:hideMark/>
          </w:tcPr>
          <w:p w14:paraId="1E3DEBF8" w14:textId="77777777" w:rsidR="006F1DBF" w:rsidRPr="006F1DBF" w:rsidRDefault="006F1DBF" w:rsidP="006F1DBF">
            <w:pPr>
              <w:spacing w:after="0" w:line="240" w:lineRule="auto"/>
              <w:jc w:val="center"/>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b/>
                <w:bCs/>
                <w:kern w:val="0"/>
                <w:sz w:val="20"/>
                <w:szCs w:val="20"/>
                <w:lang w:eastAsia="nl-NL"/>
                <w14:ligatures w14:val="none"/>
              </w:rPr>
              <w:t>2024 N-waarde</w:t>
            </w:r>
            <w:r w:rsidRPr="006F1DBF">
              <w:rPr>
                <w:rFonts w:ascii="Calibri" w:eastAsia="Times New Roman" w:hAnsi="Calibri" w:cs="Calibri"/>
                <w:kern w:val="0"/>
                <w:sz w:val="20"/>
                <w:szCs w:val="20"/>
                <w:lang w:eastAsia="nl-NL"/>
                <w14:ligatures w14:val="none"/>
              </w:rPr>
              <w:t> </w:t>
            </w:r>
          </w:p>
        </w:tc>
        <w:tc>
          <w:tcPr>
            <w:tcW w:w="1770" w:type="dxa"/>
            <w:tcBorders>
              <w:top w:val="single" w:sz="6" w:space="0" w:color="000000"/>
              <w:left w:val="single" w:sz="6" w:space="0" w:color="000000"/>
              <w:bottom w:val="single" w:sz="6" w:space="0" w:color="000000"/>
              <w:right w:val="single" w:sz="6" w:space="0" w:color="000000"/>
            </w:tcBorders>
            <w:shd w:val="clear" w:color="auto" w:fill="FDC300"/>
            <w:hideMark/>
          </w:tcPr>
          <w:p w14:paraId="48925991" w14:textId="77777777" w:rsidR="006F1DBF" w:rsidRPr="006F1DBF" w:rsidRDefault="006F1DBF" w:rsidP="006F1DBF">
            <w:pPr>
              <w:spacing w:after="0" w:line="240" w:lineRule="auto"/>
              <w:jc w:val="center"/>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b/>
                <w:bCs/>
                <w:kern w:val="0"/>
                <w:sz w:val="20"/>
                <w:szCs w:val="20"/>
                <w:lang w:eastAsia="nl-NL"/>
                <w14:ligatures w14:val="none"/>
              </w:rPr>
              <w:t>2025 N-waarde</w:t>
            </w:r>
            <w:r w:rsidRPr="006F1DBF">
              <w:rPr>
                <w:rFonts w:ascii="Calibri" w:eastAsia="Times New Roman" w:hAnsi="Calibri" w:cs="Calibri"/>
                <w:kern w:val="0"/>
                <w:sz w:val="20"/>
                <w:szCs w:val="20"/>
                <w:lang w:eastAsia="nl-NL"/>
                <w14:ligatures w14:val="none"/>
              </w:rPr>
              <w:t> </w:t>
            </w:r>
          </w:p>
        </w:tc>
      </w:tr>
      <w:tr w:rsidR="006F1DBF" w:rsidRPr="006F1DBF" w14:paraId="12529CA0" w14:textId="77777777">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FDC300"/>
            <w:hideMark/>
          </w:tcPr>
          <w:p w14:paraId="06BDF932" w14:textId="77777777" w:rsidR="006F1DBF" w:rsidRPr="006F1DBF" w:rsidRDefault="006F1DBF" w:rsidP="006F1DBF">
            <w:pPr>
              <w:spacing w:after="0" w:line="240" w:lineRule="auto"/>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b/>
                <w:bCs/>
                <w:kern w:val="0"/>
                <w:sz w:val="20"/>
                <w:szCs w:val="20"/>
                <w:lang w:eastAsia="nl-NL"/>
                <w14:ligatures w14:val="none"/>
              </w:rPr>
              <w:t>Ambulant</w:t>
            </w:r>
            <w:r w:rsidRPr="006F1DBF">
              <w:rPr>
                <w:rFonts w:ascii="Calibri" w:eastAsia="Times New Roman" w:hAnsi="Calibri" w:cs="Calibri"/>
                <w:kern w:val="0"/>
                <w:sz w:val="20"/>
                <w:szCs w:val="20"/>
                <w:lang w:eastAsia="nl-NL"/>
                <w14:ligatures w14:val="none"/>
              </w:rPr>
              <w:t> </w:t>
            </w:r>
          </w:p>
        </w:tc>
        <w:tc>
          <w:tcPr>
            <w:tcW w:w="1575" w:type="dxa"/>
            <w:tcBorders>
              <w:top w:val="single" w:sz="6" w:space="0" w:color="000000"/>
              <w:left w:val="single" w:sz="6" w:space="0" w:color="000000"/>
              <w:bottom w:val="single" w:sz="6" w:space="0" w:color="000000"/>
              <w:right w:val="single" w:sz="6" w:space="0" w:color="000000"/>
            </w:tcBorders>
            <w:hideMark/>
          </w:tcPr>
          <w:p w14:paraId="410DB8EC" w14:textId="77777777" w:rsidR="006F1DBF" w:rsidRPr="006F1DBF" w:rsidRDefault="006F1DBF" w:rsidP="006F1DBF">
            <w:pPr>
              <w:spacing w:after="0" w:line="240" w:lineRule="auto"/>
              <w:jc w:val="center"/>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kern w:val="0"/>
                <w:sz w:val="20"/>
                <w:szCs w:val="20"/>
                <w:lang w:eastAsia="nl-NL"/>
                <w14:ligatures w14:val="none"/>
              </w:rPr>
              <w:t>84 </w:t>
            </w:r>
          </w:p>
        </w:tc>
        <w:tc>
          <w:tcPr>
            <w:tcW w:w="1680" w:type="dxa"/>
            <w:tcBorders>
              <w:top w:val="single" w:sz="6" w:space="0" w:color="000000"/>
              <w:left w:val="single" w:sz="6" w:space="0" w:color="000000"/>
              <w:bottom w:val="single" w:sz="6" w:space="0" w:color="000000"/>
              <w:right w:val="single" w:sz="6" w:space="0" w:color="000000"/>
            </w:tcBorders>
            <w:hideMark/>
          </w:tcPr>
          <w:p w14:paraId="467C13B2" w14:textId="77777777" w:rsidR="006F1DBF" w:rsidRPr="006F1DBF" w:rsidRDefault="006F1DBF" w:rsidP="006F1DBF">
            <w:pPr>
              <w:spacing w:after="0" w:line="240" w:lineRule="auto"/>
              <w:jc w:val="center"/>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kern w:val="0"/>
                <w:sz w:val="20"/>
                <w:szCs w:val="20"/>
                <w:lang w:eastAsia="nl-NL"/>
                <w14:ligatures w14:val="none"/>
              </w:rPr>
              <w:t>224 </w:t>
            </w:r>
          </w:p>
        </w:tc>
        <w:tc>
          <w:tcPr>
            <w:tcW w:w="1740" w:type="dxa"/>
            <w:tcBorders>
              <w:top w:val="single" w:sz="6" w:space="0" w:color="000000"/>
              <w:left w:val="single" w:sz="6" w:space="0" w:color="000000"/>
              <w:bottom w:val="single" w:sz="6" w:space="0" w:color="000000"/>
              <w:right w:val="single" w:sz="6" w:space="0" w:color="000000"/>
            </w:tcBorders>
            <w:hideMark/>
          </w:tcPr>
          <w:p w14:paraId="210C64F7" w14:textId="77777777" w:rsidR="006F1DBF" w:rsidRPr="006F1DBF" w:rsidRDefault="006F1DBF" w:rsidP="006F1DBF">
            <w:pPr>
              <w:spacing w:after="0" w:line="240" w:lineRule="auto"/>
              <w:jc w:val="center"/>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kern w:val="0"/>
                <w:sz w:val="20"/>
                <w:szCs w:val="20"/>
                <w:lang w:eastAsia="nl-NL"/>
                <w14:ligatures w14:val="none"/>
              </w:rPr>
              <w:t>132 </w:t>
            </w:r>
          </w:p>
        </w:tc>
        <w:tc>
          <w:tcPr>
            <w:tcW w:w="1770" w:type="dxa"/>
            <w:tcBorders>
              <w:top w:val="single" w:sz="6" w:space="0" w:color="000000"/>
              <w:left w:val="single" w:sz="6" w:space="0" w:color="000000"/>
              <w:bottom w:val="single" w:sz="6" w:space="0" w:color="000000"/>
              <w:right w:val="single" w:sz="6" w:space="0" w:color="000000"/>
            </w:tcBorders>
            <w:hideMark/>
          </w:tcPr>
          <w:p w14:paraId="738A0E47" w14:textId="77777777" w:rsidR="006F1DBF" w:rsidRPr="006F1DBF" w:rsidRDefault="006F1DBF" w:rsidP="006F1DBF">
            <w:pPr>
              <w:spacing w:after="0" w:line="240" w:lineRule="auto"/>
              <w:jc w:val="center"/>
              <w:textAlignment w:val="baseline"/>
              <w:rPr>
                <w:rFonts w:ascii="Segoe UI" w:eastAsia="Times New Roman" w:hAnsi="Segoe UI" w:cs="Segoe UI"/>
                <w:kern w:val="0"/>
                <w:sz w:val="18"/>
                <w:szCs w:val="18"/>
                <w:lang w:eastAsia="nl-NL"/>
                <w14:ligatures w14:val="none"/>
              </w:rPr>
            </w:pPr>
            <w:r w:rsidRPr="006F1DBF">
              <w:rPr>
                <w:rFonts w:ascii="Trebuchet MS" w:eastAsia="Times New Roman" w:hAnsi="Trebuchet MS" w:cs="Segoe UI"/>
                <w:kern w:val="0"/>
                <w:sz w:val="20"/>
                <w:szCs w:val="20"/>
                <w:lang w:eastAsia="nl-NL"/>
                <w14:ligatures w14:val="none"/>
              </w:rPr>
              <w:t>  </w:t>
            </w:r>
            <w:r w:rsidRPr="006F1DBF">
              <w:rPr>
                <w:rFonts w:ascii="Segoe UI" w:eastAsia="Times New Roman" w:hAnsi="Segoe UI" w:cs="Segoe UI"/>
                <w:noProof/>
                <w:kern w:val="0"/>
                <w:sz w:val="18"/>
                <w:szCs w:val="18"/>
                <w:lang w:eastAsia="nl-NL"/>
                <w14:ligatures w14:val="none"/>
              </w:rPr>
              <w:drawing>
                <wp:inline distT="0" distB="0" distL="0" distR="0" wp14:anchorId="71FD2EA4" wp14:editId="18F337E0">
                  <wp:extent cx="190500" cy="171450"/>
                  <wp:effectExtent l="0" t="0" r="0" b="0"/>
                  <wp:docPr id="427" name="Afbeelding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Pr="006F1DBF">
              <w:rPr>
                <w:rFonts w:ascii="Calibri" w:eastAsia="Times New Roman" w:hAnsi="Calibri" w:cs="Calibri"/>
                <w:kern w:val="0"/>
                <w:sz w:val="20"/>
                <w:szCs w:val="20"/>
                <w:lang w:eastAsia="nl-NL"/>
                <w14:ligatures w14:val="none"/>
              </w:rPr>
              <w:t> 221 </w:t>
            </w:r>
          </w:p>
        </w:tc>
      </w:tr>
      <w:tr w:rsidR="006F1DBF" w:rsidRPr="006F1DBF" w14:paraId="53216882" w14:textId="77777777">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FDC300"/>
            <w:hideMark/>
          </w:tcPr>
          <w:p w14:paraId="064F7015" w14:textId="77777777" w:rsidR="006F1DBF" w:rsidRPr="006F1DBF" w:rsidRDefault="006F1DBF" w:rsidP="006F1DBF">
            <w:pPr>
              <w:spacing w:after="0" w:line="240" w:lineRule="auto"/>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b/>
                <w:bCs/>
                <w:kern w:val="0"/>
                <w:sz w:val="20"/>
                <w:szCs w:val="20"/>
                <w:lang w:eastAsia="nl-NL"/>
                <w14:ligatures w14:val="none"/>
              </w:rPr>
              <w:t>Klinisch </w:t>
            </w:r>
            <w:r w:rsidRPr="006F1DBF">
              <w:rPr>
                <w:rFonts w:ascii="Calibri" w:eastAsia="Times New Roman" w:hAnsi="Calibri" w:cs="Calibri"/>
                <w:kern w:val="0"/>
                <w:sz w:val="20"/>
                <w:szCs w:val="20"/>
                <w:lang w:eastAsia="nl-NL"/>
                <w14:ligatures w14:val="none"/>
              </w:rPr>
              <w:t> </w:t>
            </w:r>
          </w:p>
        </w:tc>
        <w:tc>
          <w:tcPr>
            <w:tcW w:w="1575" w:type="dxa"/>
            <w:tcBorders>
              <w:top w:val="single" w:sz="6" w:space="0" w:color="000000"/>
              <w:left w:val="single" w:sz="6" w:space="0" w:color="000000"/>
              <w:bottom w:val="single" w:sz="6" w:space="0" w:color="000000"/>
              <w:right w:val="single" w:sz="6" w:space="0" w:color="000000"/>
            </w:tcBorders>
            <w:hideMark/>
          </w:tcPr>
          <w:p w14:paraId="308B93D2" w14:textId="77777777" w:rsidR="006F1DBF" w:rsidRPr="006F1DBF" w:rsidRDefault="006F1DBF" w:rsidP="006F1DBF">
            <w:pPr>
              <w:spacing w:after="0" w:line="240" w:lineRule="auto"/>
              <w:jc w:val="center"/>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kern w:val="0"/>
                <w:sz w:val="20"/>
                <w:szCs w:val="20"/>
                <w:lang w:eastAsia="nl-NL"/>
                <w14:ligatures w14:val="none"/>
              </w:rPr>
              <w:t>- </w:t>
            </w:r>
          </w:p>
        </w:tc>
        <w:tc>
          <w:tcPr>
            <w:tcW w:w="1680" w:type="dxa"/>
            <w:tcBorders>
              <w:top w:val="single" w:sz="6" w:space="0" w:color="000000"/>
              <w:left w:val="single" w:sz="6" w:space="0" w:color="000000"/>
              <w:bottom w:val="single" w:sz="6" w:space="0" w:color="000000"/>
              <w:right w:val="single" w:sz="6" w:space="0" w:color="000000"/>
            </w:tcBorders>
            <w:hideMark/>
          </w:tcPr>
          <w:p w14:paraId="75B2AFFC" w14:textId="77777777" w:rsidR="006F1DBF" w:rsidRPr="006F1DBF" w:rsidRDefault="006F1DBF" w:rsidP="006F1DBF">
            <w:pPr>
              <w:spacing w:after="0" w:line="240" w:lineRule="auto"/>
              <w:jc w:val="center"/>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kern w:val="0"/>
                <w:sz w:val="20"/>
                <w:szCs w:val="20"/>
                <w:lang w:eastAsia="nl-NL"/>
                <w14:ligatures w14:val="none"/>
              </w:rPr>
              <w:t>30 </w:t>
            </w:r>
          </w:p>
        </w:tc>
        <w:tc>
          <w:tcPr>
            <w:tcW w:w="1740" w:type="dxa"/>
            <w:tcBorders>
              <w:top w:val="single" w:sz="6" w:space="0" w:color="000000"/>
              <w:left w:val="single" w:sz="6" w:space="0" w:color="000000"/>
              <w:bottom w:val="single" w:sz="6" w:space="0" w:color="000000"/>
              <w:right w:val="single" w:sz="6" w:space="0" w:color="000000"/>
            </w:tcBorders>
            <w:hideMark/>
          </w:tcPr>
          <w:p w14:paraId="63164870" w14:textId="77777777" w:rsidR="006F1DBF" w:rsidRPr="006F1DBF" w:rsidRDefault="006F1DBF" w:rsidP="006F1DBF">
            <w:pPr>
              <w:spacing w:after="0" w:line="240" w:lineRule="auto"/>
              <w:jc w:val="center"/>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kern w:val="0"/>
                <w:sz w:val="20"/>
                <w:szCs w:val="20"/>
                <w:lang w:eastAsia="nl-NL"/>
                <w14:ligatures w14:val="none"/>
              </w:rPr>
              <w:t>44 </w:t>
            </w:r>
          </w:p>
        </w:tc>
        <w:tc>
          <w:tcPr>
            <w:tcW w:w="1770" w:type="dxa"/>
            <w:tcBorders>
              <w:top w:val="single" w:sz="6" w:space="0" w:color="000000"/>
              <w:left w:val="single" w:sz="6" w:space="0" w:color="000000"/>
              <w:bottom w:val="single" w:sz="6" w:space="0" w:color="000000"/>
              <w:right w:val="single" w:sz="6" w:space="0" w:color="000000"/>
            </w:tcBorders>
            <w:hideMark/>
          </w:tcPr>
          <w:p w14:paraId="68E5CE1F" w14:textId="77777777" w:rsidR="006F1DBF" w:rsidRPr="006F1DBF" w:rsidRDefault="006F1DBF" w:rsidP="006F1DBF">
            <w:pPr>
              <w:spacing w:after="0" w:line="240" w:lineRule="auto"/>
              <w:jc w:val="center"/>
              <w:textAlignment w:val="baseline"/>
              <w:rPr>
                <w:rFonts w:ascii="Segoe UI" w:eastAsia="Times New Roman" w:hAnsi="Segoe UI" w:cs="Segoe UI"/>
                <w:kern w:val="0"/>
                <w:sz w:val="18"/>
                <w:szCs w:val="18"/>
                <w:lang w:eastAsia="nl-NL"/>
                <w14:ligatures w14:val="none"/>
              </w:rPr>
            </w:pPr>
            <w:r w:rsidRPr="006F1DBF">
              <w:rPr>
                <w:rFonts w:ascii="Segoe UI" w:eastAsia="Times New Roman" w:hAnsi="Segoe UI" w:cs="Segoe UI"/>
                <w:noProof/>
                <w:kern w:val="0"/>
                <w:sz w:val="18"/>
                <w:szCs w:val="18"/>
                <w:lang w:eastAsia="nl-NL"/>
                <w14:ligatures w14:val="none"/>
              </w:rPr>
              <w:drawing>
                <wp:inline distT="0" distB="0" distL="0" distR="0" wp14:anchorId="45B34E3D" wp14:editId="0ACD470A">
                  <wp:extent cx="190500" cy="171450"/>
                  <wp:effectExtent l="0" t="0" r="0" b="0"/>
                  <wp:docPr id="428" name="Afbeelding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Pr="006F1DBF">
              <w:rPr>
                <w:rFonts w:ascii="Calibri" w:eastAsia="Times New Roman" w:hAnsi="Calibri" w:cs="Calibri"/>
                <w:kern w:val="0"/>
                <w:sz w:val="20"/>
                <w:szCs w:val="20"/>
                <w:lang w:eastAsia="nl-NL"/>
                <w14:ligatures w14:val="none"/>
              </w:rPr>
              <w:t>72 </w:t>
            </w:r>
          </w:p>
        </w:tc>
      </w:tr>
      <w:tr w:rsidR="006F1DBF" w:rsidRPr="006F1DBF" w14:paraId="53B9DFCA" w14:textId="77777777">
        <w:trPr>
          <w:trHeight w:val="300"/>
        </w:trPr>
        <w:tc>
          <w:tcPr>
            <w:tcW w:w="2265" w:type="dxa"/>
            <w:tcBorders>
              <w:top w:val="single" w:sz="6" w:space="0" w:color="000000"/>
              <w:left w:val="single" w:sz="6" w:space="0" w:color="000000"/>
              <w:bottom w:val="single" w:sz="6" w:space="0" w:color="auto"/>
              <w:right w:val="single" w:sz="6" w:space="0" w:color="000000"/>
            </w:tcBorders>
            <w:shd w:val="clear" w:color="auto" w:fill="FDC300"/>
            <w:hideMark/>
          </w:tcPr>
          <w:p w14:paraId="43B3169F" w14:textId="77777777" w:rsidR="006F1DBF" w:rsidRPr="006F1DBF" w:rsidRDefault="006F1DBF" w:rsidP="006F1DBF">
            <w:pPr>
              <w:spacing w:after="0" w:line="240" w:lineRule="auto"/>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b/>
                <w:bCs/>
                <w:kern w:val="0"/>
                <w:sz w:val="20"/>
                <w:szCs w:val="20"/>
                <w:lang w:eastAsia="nl-NL"/>
                <w14:ligatures w14:val="none"/>
              </w:rPr>
              <w:t>Jeugd (cliënt) - geen </w:t>
            </w:r>
            <w:proofErr w:type="spellStart"/>
            <w:r w:rsidRPr="006F1DBF">
              <w:rPr>
                <w:rFonts w:ascii="Calibri" w:eastAsia="Times New Roman" w:hAnsi="Calibri" w:cs="Calibri"/>
                <w:b/>
                <w:bCs/>
                <w:kern w:val="0"/>
                <w:sz w:val="20"/>
                <w:szCs w:val="20"/>
                <w:lang w:eastAsia="nl-NL"/>
                <w14:ligatures w14:val="none"/>
              </w:rPr>
              <w:t>fz</w:t>
            </w:r>
            <w:proofErr w:type="spellEnd"/>
            <w:r w:rsidRPr="006F1DBF">
              <w:rPr>
                <w:rFonts w:ascii="Calibri" w:eastAsia="Times New Roman" w:hAnsi="Calibri" w:cs="Calibri"/>
                <w:kern w:val="0"/>
                <w:sz w:val="20"/>
                <w:szCs w:val="20"/>
                <w:lang w:eastAsia="nl-NL"/>
                <w14:ligatures w14:val="none"/>
              </w:rPr>
              <w:t> </w:t>
            </w:r>
          </w:p>
        </w:tc>
        <w:tc>
          <w:tcPr>
            <w:tcW w:w="1575" w:type="dxa"/>
            <w:tcBorders>
              <w:top w:val="single" w:sz="6" w:space="0" w:color="000000"/>
              <w:left w:val="single" w:sz="6" w:space="0" w:color="000000"/>
              <w:bottom w:val="single" w:sz="6" w:space="0" w:color="auto"/>
              <w:right w:val="single" w:sz="6" w:space="0" w:color="000000"/>
            </w:tcBorders>
            <w:hideMark/>
          </w:tcPr>
          <w:p w14:paraId="4877B1F8" w14:textId="77777777" w:rsidR="006F1DBF" w:rsidRPr="006F1DBF" w:rsidRDefault="006F1DBF" w:rsidP="006F1DBF">
            <w:pPr>
              <w:spacing w:after="0" w:line="240" w:lineRule="auto"/>
              <w:jc w:val="center"/>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kern w:val="0"/>
                <w:sz w:val="20"/>
                <w:szCs w:val="20"/>
                <w:lang w:eastAsia="nl-NL"/>
                <w14:ligatures w14:val="none"/>
              </w:rPr>
              <w:t>41 </w:t>
            </w:r>
          </w:p>
        </w:tc>
        <w:tc>
          <w:tcPr>
            <w:tcW w:w="1680" w:type="dxa"/>
            <w:tcBorders>
              <w:top w:val="single" w:sz="6" w:space="0" w:color="000000"/>
              <w:left w:val="single" w:sz="6" w:space="0" w:color="000000"/>
              <w:bottom w:val="single" w:sz="6" w:space="0" w:color="auto"/>
              <w:right w:val="single" w:sz="6" w:space="0" w:color="000000"/>
            </w:tcBorders>
            <w:hideMark/>
          </w:tcPr>
          <w:p w14:paraId="32F359A0" w14:textId="77777777" w:rsidR="006F1DBF" w:rsidRPr="006F1DBF" w:rsidRDefault="006F1DBF" w:rsidP="006F1DBF">
            <w:pPr>
              <w:spacing w:after="0" w:line="240" w:lineRule="auto"/>
              <w:jc w:val="center"/>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kern w:val="0"/>
                <w:sz w:val="20"/>
                <w:szCs w:val="20"/>
                <w:lang w:eastAsia="nl-NL"/>
                <w14:ligatures w14:val="none"/>
              </w:rPr>
              <w:t>75 </w:t>
            </w:r>
          </w:p>
        </w:tc>
        <w:tc>
          <w:tcPr>
            <w:tcW w:w="1740" w:type="dxa"/>
            <w:tcBorders>
              <w:top w:val="single" w:sz="6" w:space="0" w:color="000000"/>
              <w:left w:val="single" w:sz="6" w:space="0" w:color="000000"/>
              <w:bottom w:val="single" w:sz="6" w:space="0" w:color="auto"/>
              <w:right w:val="single" w:sz="6" w:space="0" w:color="000000"/>
            </w:tcBorders>
            <w:hideMark/>
          </w:tcPr>
          <w:p w14:paraId="3CC2237F" w14:textId="77777777" w:rsidR="006F1DBF" w:rsidRPr="006F1DBF" w:rsidRDefault="006F1DBF" w:rsidP="006F1DBF">
            <w:pPr>
              <w:spacing w:after="0" w:line="240" w:lineRule="auto"/>
              <w:jc w:val="center"/>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kern w:val="0"/>
                <w:sz w:val="20"/>
                <w:szCs w:val="20"/>
                <w:lang w:eastAsia="nl-NL"/>
                <w14:ligatures w14:val="none"/>
              </w:rPr>
              <w:t>69 </w:t>
            </w:r>
          </w:p>
        </w:tc>
        <w:tc>
          <w:tcPr>
            <w:tcW w:w="1770" w:type="dxa"/>
            <w:tcBorders>
              <w:top w:val="single" w:sz="6" w:space="0" w:color="000000"/>
              <w:left w:val="single" w:sz="6" w:space="0" w:color="000000"/>
              <w:bottom w:val="single" w:sz="6" w:space="0" w:color="auto"/>
              <w:right w:val="single" w:sz="6" w:space="0" w:color="000000"/>
            </w:tcBorders>
            <w:hideMark/>
          </w:tcPr>
          <w:p w14:paraId="7ED886D7" w14:textId="77777777" w:rsidR="006F1DBF" w:rsidRPr="006F1DBF" w:rsidRDefault="006F1DBF" w:rsidP="006F1DBF">
            <w:pPr>
              <w:spacing w:after="0" w:line="240" w:lineRule="auto"/>
              <w:jc w:val="center"/>
              <w:textAlignment w:val="baseline"/>
              <w:rPr>
                <w:rFonts w:ascii="Segoe UI" w:eastAsia="Times New Roman" w:hAnsi="Segoe UI" w:cs="Segoe UI"/>
                <w:kern w:val="0"/>
                <w:sz w:val="18"/>
                <w:szCs w:val="18"/>
                <w:lang w:eastAsia="nl-NL"/>
                <w14:ligatures w14:val="none"/>
              </w:rPr>
            </w:pPr>
            <w:r w:rsidRPr="006F1DBF">
              <w:rPr>
                <w:rFonts w:ascii="Segoe UI" w:eastAsia="Times New Roman" w:hAnsi="Segoe UI" w:cs="Segoe UI"/>
                <w:noProof/>
                <w:kern w:val="0"/>
                <w:sz w:val="18"/>
                <w:szCs w:val="18"/>
                <w:lang w:eastAsia="nl-NL"/>
                <w14:ligatures w14:val="none"/>
              </w:rPr>
              <w:drawing>
                <wp:inline distT="0" distB="0" distL="0" distR="0" wp14:anchorId="002B0C0D" wp14:editId="0E79F1CB">
                  <wp:extent cx="190500" cy="171450"/>
                  <wp:effectExtent l="0" t="0" r="0" b="0"/>
                  <wp:docPr id="429" name="Afbeelding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Pr="006F1DBF">
              <w:rPr>
                <w:rFonts w:ascii="Calibri" w:eastAsia="Times New Roman" w:hAnsi="Calibri" w:cs="Calibri"/>
                <w:kern w:val="0"/>
                <w:sz w:val="20"/>
                <w:szCs w:val="20"/>
                <w:lang w:eastAsia="nl-NL"/>
                <w14:ligatures w14:val="none"/>
              </w:rPr>
              <w:t>67 </w:t>
            </w:r>
          </w:p>
        </w:tc>
      </w:tr>
      <w:tr w:rsidR="006F1DBF" w:rsidRPr="006F1DBF" w14:paraId="2B186886" w14:textId="77777777">
        <w:trPr>
          <w:trHeight w:val="300"/>
        </w:trPr>
        <w:tc>
          <w:tcPr>
            <w:tcW w:w="2265" w:type="dxa"/>
            <w:tcBorders>
              <w:top w:val="single" w:sz="6" w:space="0" w:color="000000"/>
              <w:left w:val="single" w:sz="6" w:space="0" w:color="000000"/>
              <w:bottom w:val="single" w:sz="6" w:space="0" w:color="auto"/>
              <w:right w:val="single" w:sz="6" w:space="0" w:color="000000"/>
            </w:tcBorders>
            <w:shd w:val="clear" w:color="auto" w:fill="FDC300"/>
            <w:hideMark/>
          </w:tcPr>
          <w:p w14:paraId="1CCB21A0" w14:textId="77777777" w:rsidR="006F1DBF" w:rsidRPr="006F1DBF" w:rsidRDefault="006F1DBF" w:rsidP="006F1DBF">
            <w:pPr>
              <w:spacing w:after="0" w:line="240" w:lineRule="auto"/>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b/>
                <w:bCs/>
                <w:kern w:val="0"/>
                <w:sz w:val="20"/>
                <w:szCs w:val="20"/>
                <w:lang w:eastAsia="nl-NL"/>
                <w14:ligatures w14:val="none"/>
              </w:rPr>
              <w:t>Jeugd (ouders) - geen </w:t>
            </w:r>
            <w:proofErr w:type="spellStart"/>
            <w:r w:rsidRPr="006F1DBF">
              <w:rPr>
                <w:rFonts w:ascii="Calibri" w:eastAsia="Times New Roman" w:hAnsi="Calibri" w:cs="Calibri"/>
                <w:b/>
                <w:bCs/>
                <w:kern w:val="0"/>
                <w:sz w:val="20"/>
                <w:szCs w:val="20"/>
                <w:lang w:eastAsia="nl-NL"/>
                <w14:ligatures w14:val="none"/>
              </w:rPr>
              <w:t>fz</w:t>
            </w:r>
            <w:proofErr w:type="spellEnd"/>
            <w:r w:rsidRPr="006F1DBF">
              <w:rPr>
                <w:rFonts w:ascii="Calibri" w:eastAsia="Times New Roman" w:hAnsi="Calibri" w:cs="Calibri"/>
                <w:kern w:val="0"/>
                <w:sz w:val="20"/>
                <w:szCs w:val="20"/>
                <w:lang w:eastAsia="nl-NL"/>
                <w14:ligatures w14:val="none"/>
              </w:rPr>
              <w:t> </w:t>
            </w:r>
          </w:p>
        </w:tc>
        <w:tc>
          <w:tcPr>
            <w:tcW w:w="1575" w:type="dxa"/>
            <w:tcBorders>
              <w:top w:val="single" w:sz="6" w:space="0" w:color="000000"/>
              <w:left w:val="single" w:sz="6" w:space="0" w:color="000000"/>
              <w:bottom w:val="single" w:sz="6" w:space="0" w:color="auto"/>
              <w:right w:val="single" w:sz="6" w:space="0" w:color="000000"/>
            </w:tcBorders>
            <w:hideMark/>
          </w:tcPr>
          <w:p w14:paraId="37D5B76A" w14:textId="77777777" w:rsidR="006F1DBF" w:rsidRPr="006F1DBF" w:rsidRDefault="006F1DBF" w:rsidP="006F1DBF">
            <w:pPr>
              <w:spacing w:after="0" w:line="240" w:lineRule="auto"/>
              <w:jc w:val="center"/>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kern w:val="0"/>
                <w:sz w:val="20"/>
                <w:szCs w:val="20"/>
                <w:lang w:eastAsia="nl-NL"/>
                <w14:ligatures w14:val="none"/>
              </w:rPr>
              <w:t>44 </w:t>
            </w:r>
          </w:p>
        </w:tc>
        <w:tc>
          <w:tcPr>
            <w:tcW w:w="1680" w:type="dxa"/>
            <w:tcBorders>
              <w:top w:val="single" w:sz="6" w:space="0" w:color="000000"/>
              <w:left w:val="single" w:sz="6" w:space="0" w:color="000000"/>
              <w:bottom w:val="single" w:sz="6" w:space="0" w:color="auto"/>
              <w:right w:val="single" w:sz="6" w:space="0" w:color="000000"/>
            </w:tcBorders>
            <w:hideMark/>
          </w:tcPr>
          <w:p w14:paraId="1CEA3181" w14:textId="77777777" w:rsidR="006F1DBF" w:rsidRPr="006F1DBF" w:rsidRDefault="006F1DBF" w:rsidP="006F1DBF">
            <w:pPr>
              <w:spacing w:after="0" w:line="240" w:lineRule="auto"/>
              <w:jc w:val="center"/>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kern w:val="0"/>
                <w:sz w:val="20"/>
                <w:szCs w:val="20"/>
                <w:lang w:eastAsia="nl-NL"/>
                <w14:ligatures w14:val="none"/>
              </w:rPr>
              <w:t>77 </w:t>
            </w:r>
          </w:p>
        </w:tc>
        <w:tc>
          <w:tcPr>
            <w:tcW w:w="1740" w:type="dxa"/>
            <w:tcBorders>
              <w:top w:val="single" w:sz="6" w:space="0" w:color="000000"/>
              <w:left w:val="single" w:sz="6" w:space="0" w:color="000000"/>
              <w:bottom w:val="single" w:sz="6" w:space="0" w:color="auto"/>
              <w:right w:val="single" w:sz="6" w:space="0" w:color="000000"/>
            </w:tcBorders>
            <w:hideMark/>
          </w:tcPr>
          <w:p w14:paraId="5F79ED17" w14:textId="77777777" w:rsidR="006F1DBF" w:rsidRPr="006F1DBF" w:rsidRDefault="006F1DBF" w:rsidP="006F1DBF">
            <w:pPr>
              <w:spacing w:after="0" w:line="240" w:lineRule="auto"/>
              <w:jc w:val="center"/>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kern w:val="0"/>
                <w:sz w:val="20"/>
                <w:szCs w:val="20"/>
                <w:lang w:eastAsia="nl-NL"/>
                <w14:ligatures w14:val="none"/>
              </w:rPr>
              <w:t>75 </w:t>
            </w:r>
          </w:p>
        </w:tc>
        <w:tc>
          <w:tcPr>
            <w:tcW w:w="1770" w:type="dxa"/>
            <w:tcBorders>
              <w:top w:val="single" w:sz="6" w:space="0" w:color="000000"/>
              <w:left w:val="single" w:sz="6" w:space="0" w:color="000000"/>
              <w:bottom w:val="single" w:sz="6" w:space="0" w:color="auto"/>
              <w:right w:val="single" w:sz="6" w:space="0" w:color="000000"/>
            </w:tcBorders>
            <w:hideMark/>
          </w:tcPr>
          <w:p w14:paraId="63897347" w14:textId="77777777" w:rsidR="006F1DBF" w:rsidRPr="006F1DBF" w:rsidRDefault="006F1DBF" w:rsidP="006F1DBF">
            <w:pPr>
              <w:spacing w:after="0" w:line="240" w:lineRule="auto"/>
              <w:jc w:val="center"/>
              <w:textAlignment w:val="baseline"/>
              <w:rPr>
                <w:rFonts w:ascii="Segoe UI" w:eastAsia="Times New Roman" w:hAnsi="Segoe UI" w:cs="Segoe UI"/>
                <w:kern w:val="0"/>
                <w:sz w:val="18"/>
                <w:szCs w:val="18"/>
                <w:lang w:eastAsia="nl-NL"/>
                <w14:ligatures w14:val="none"/>
              </w:rPr>
            </w:pPr>
            <w:r w:rsidRPr="006F1DBF">
              <w:rPr>
                <w:rFonts w:ascii="Segoe UI" w:eastAsia="Times New Roman" w:hAnsi="Segoe UI" w:cs="Segoe UI"/>
                <w:noProof/>
                <w:kern w:val="0"/>
                <w:sz w:val="18"/>
                <w:szCs w:val="18"/>
                <w:lang w:eastAsia="nl-NL"/>
                <w14:ligatures w14:val="none"/>
              </w:rPr>
              <w:drawing>
                <wp:inline distT="0" distB="0" distL="0" distR="0" wp14:anchorId="773DAC85" wp14:editId="1410663B">
                  <wp:extent cx="190500" cy="171450"/>
                  <wp:effectExtent l="0" t="0" r="0" b="0"/>
                  <wp:docPr id="430" name="Afbeelding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Pr="006F1DBF">
              <w:rPr>
                <w:rFonts w:ascii="Calibri" w:eastAsia="Times New Roman" w:hAnsi="Calibri" w:cs="Calibri"/>
                <w:kern w:val="0"/>
                <w:sz w:val="20"/>
                <w:szCs w:val="20"/>
                <w:lang w:eastAsia="nl-NL"/>
                <w14:ligatures w14:val="none"/>
              </w:rPr>
              <w:t>68 </w:t>
            </w:r>
          </w:p>
        </w:tc>
      </w:tr>
      <w:tr w:rsidR="006F1DBF" w:rsidRPr="006F1DBF" w14:paraId="24F8A5CB" w14:textId="77777777">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FDC300"/>
            <w:hideMark/>
          </w:tcPr>
          <w:p w14:paraId="626EAE93" w14:textId="77777777" w:rsidR="006F1DBF" w:rsidRPr="006F1DBF" w:rsidRDefault="006F1DBF" w:rsidP="006F1DBF">
            <w:pPr>
              <w:spacing w:after="0" w:line="240" w:lineRule="auto"/>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b/>
                <w:bCs/>
                <w:kern w:val="0"/>
                <w:sz w:val="20"/>
                <w:szCs w:val="20"/>
                <w:lang w:eastAsia="nl-NL"/>
                <w14:ligatures w14:val="none"/>
              </w:rPr>
              <w:t>Wonen</w:t>
            </w:r>
            <w:r w:rsidRPr="006F1DBF">
              <w:rPr>
                <w:rFonts w:ascii="Calibri" w:eastAsia="Times New Roman" w:hAnsi="Calibri" w:cs="Calibri"/>
                <w:kern w:val="0"/>
                <w:sz w:val="20"/>
                <w:szCs w:val="20"/>
                <w:lang w:eastAsia="nl-NL"/>
                <w14:ligatures w14:val="none"/>
              </w:rPr>
              <w:t> </w:t>
            </w:r>
          </w:p>
        </w:tc>
        <w:tc>
          <w:tcPr>
            <w:tcW w:w="1575" w:type="dxa"/>
            <w:tcBorders>
              <w:top w:val="single" w:sz="6" w:space="0" w:color="auto"/>
              <w:left w:val="single" w:sz="6" w:space="0" w:color="auto"/>
              <w:bottom w:val="single" w:sz="6" w:space="0" w:color="auto"/>
              <w:right w:val="single" w:sz="6" w:space="0" w:color="auto"/>
            </w:tcBorders>
            <w:hideMark/>
          </w:tcPr>
          <w:p w14:paraId="4B2C2BB2" w14:textId="77777777" w:rsidR="006F1DBF" w:rsidRPr="006F1DBF" w:rsidRDefault="006F1DBF" w:rsidP="006F1DBF">
            <w:pPr>
              <w:spacing w:after="0" w:line="240" w:lineRule="auto"/>
              <w:jc w:val="center"/>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kern w:val="0"/>
                <w:sz w:val="20"/>
                <w:szCs w:val="20"/>
                <w:lang w:eastAsia="nl-NL"/>
                <w14:ligatures w14:val="none"/>
              </w:rPr>
              <w:t>24 </w:t>
            </w:r>
          </w:p>
        </w:tc>
        <w:tc>
          <w:tcPr>
            <w:tcW w:w="1680" w:type="dxa"/>
            <w:tcBorders>
              <w:top w:val="single" w:sz="6" w:space="0" w:color="auto"/>
              <w:left w:val="single" w:sz="6" w:space="0" w:color="auto"/>
              <w:bottom w:val="single" w:sz="6" w:space="0" w:color="auto"/>
              <w:right w:val="single" w:sz="6" w:space="0" w:color="auto"/>
            </w:tcBorders>
            <w:hideMark/>
          </w:tcPr>
          <w:p w14:paraId="789533E3" w14:textId="77777777" w:rsidR="006F1DBF" w:rsidRPr="006F1DBF" w:rsidRDefault="006F1DBF" w:rsidP="006F1DBF">
            <w:pPr>
              <w:spacing w:after="0" w:line="240" w:lineRule="auto"/>
              <w:jc w:val="center"/>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kern w:val="0"/>
                <w:sz w:val="20"/>
                <w:szCs w:val="20"/>
                <w:lang w:eastAsia="nl-NL"/>
                <w14:ligatures w14:val="none"/>
              </w:rPr>
              <w:t>3 </w:t>
            </w:r>
          </w:p>
        </w:tc>
        <w:tc>
          <w:tcPr>
            <w:tcW w:w="1740" w:type="dxa"/>
            <w:tcBorders>
              <w:top w:val="single" w:sz="6" w:space="0" w:color="auto"/>
              <w:left w:val="single" w:sz="6" w:space="0" w:color="auto"/>
              <w:bottom w:val="single" w:sz="6" w:space="0" w:color="auto"/>
              <w:right w:val="single" w:sz="6" w:space="0" w:color="auto"/>
            </w:tcBorders>
            <w:hideMark/>
          </w:tcPr>
          <w:p w14:paraId="0EF47EB5" w14:textId="77777777" w:rsidR="006F1DBF" w:rsidRPr="006F1DBF" w:rsidRDefault="006F1DBF" w:rsidP="006F1DBF">
            <w:pPr>
              <w:spacing w:after="0" w:line="240" w:lineRule="auto"/>
              <w:jc w:val="center"/>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i/>
                <w:iCs/>
                <w:kern w:val="0"/>
                <w:sz w:val="20"/>
                <w:szCs w:val="20"/>
                <w:lang w:eastAsia="nl-NL"/>
                <w14:ligatures w14:val="none"/>
              </w:rPr>
              <w:t>Nog niet bekend*</w:t>
            </w:r>
            <w:r w:rsidRPr="006F1DBF">
              <w:rPr>
                <w:rFonts w:ascii="Calibri" w:eastAsia="Times New Roman" w:hAnsi="Calibri" w:cs="Calibri"/>
                <w:kern w:val="0"/>
                <w:sz w:val="20"/>
                <w:szCs w:val="20"/>
                <w:lang w:eastAsia="nl-NL"/>
                <w14:ligatures w14:val="none"/>
              </w:rPr>
              <w:t> </w:t>
            </w:r>
          </w:p>
        </w:tc>
        <w:tc>
          <w:tcPr>
            <w:tcW w:w="1770" w:type="dxa"/>
            <w:tcBorders>
              <w:top w:val="single" w:sz="6" w:space="0" w:color="auto"/>
              <w:left w:val="single" w:sz="6" w:space="0" w:color="auto"/>
              <w:bottom w:val="single" w:sz="6" w:space="0" w:color="auto"/>
              <w:right w:val="single" w:sz="6" w:space="0" w:color="auto"/>
            </w:tcBorders>
            <w:hideMark/>
          </w:tcPr>
          <w:p w14:paraId="54ADA751" w14:textId="77777777" w:rsidR="006F1DBF" w:rsidRPr="006F1DBF" w:rsidRDefault="006F1DBF" w:rsidP="006F1DBF">
            <w:pPr>
              <w:spacing w:after="0" w:line="240" w:lineRule="auto"/>
              <w:jc w:val="center"/>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i/>
                <w:iCs/>
                <w:kern w:val="0"/>
                <w:sz w:val="20"/>
                <w:szCs w:val="20"/>
                <w:lang w:eastAsia="nl-NL"/>
                <w14:ligatures w14:val="none"/>
              </w:rPr>
              <w:t>Nog niet bekend*</w:t>
            </w:r>
            <w:r w:rsidRPr="006F1DBF">
              <w:rPr>
                <w:rFonts w:ascii="Calibri" w:eastAsia="Times New Roman" w:hAnsi="Calibri" w:cs="Calibri"/>
                <w:kern w:val="0"/>
                <w:sz w:val="20"/>
                <w:szCs w:val="20"/>
                <w:lang w:eastAsia="nl-NL"/>
                <w14:ligatures w14:val="none"/>
              </w:rPr>
              <w:t> </w:t>
            </w:r>
          </w:p>
        </w:tc>
      </w:tr>
    </w:tbl>
    <w:p w14:paraId="5AE31784" w14:textId="53F0FBA9" w:rsidR="006F1DBF" w:rsidRPr="006F1DBF" w:rsidRDefault="00324E4F" w:rsidP="006F1DBF">
      <w:pPr>
        <w:rPr>
          <w:rFonts w:asciiTheme="minorHAnsi" w:hAnsiTheme="minorHAnsi" w:cstheme="minorHAnsi"/>
          <w:sz w:val="18"/>
          <w:szCs w:val="18"/>
        </w:rPr>
      </w:pPr>
      <w:r>
        <w:rPr>
          <w:rFonts w:asciiTheme="minorHAnsi" w:hAnsiTheme="minorHAnsi" w:cstheme="minorHAnsi"/>
          <w:sz w:val="18"/>
          <w:szCs w:val="18"/>
        </w:rPr>
        <w:br/>
      </w:r>
      <w:r w:rsidR="006F1DBF" w:rsidRPr="006F1DBF">
        <w:rPr>
          <w:rFonts w:asciiTheme="minorHAnsi" w:hAnsiTheme="minorHAnsi" w:cstheme="minorHAnsi"/>
          <w:sz w:val="18"/>
          <w:szCs w:val="18"/>
        </w:rPr>
        <w:t>* Door vertraging in de ontwikkeling van de BI-tool en koppeling met Minddistrict zijn de resultaten voor de divisie Wonen (N-waarde en gemiddeld cijfer) nog niet bekend op het moment van publicatie van dit kwaliteitsverslag.</w:t>
      </w:r>
    </w:p>
    <w:p w14:paraId="24B8786F" w14:textId="77777777" w:rsidR="00324E4F" w:rsidRDefault="00324E4F" w:rsidP="006F1DBF">
      <w:pPr>
        <w:rPr>
          <w:rFonts w:asciiTheme="minorHAnsi" w:hAnsiTheme="minorHAnsi" w:cstheme="minorHAnsi"/>
        </w:rPr>
      </w:pPr>
    </w:p>
    <w:p w14:paraId="7274D80A" w14:textId="2308D3F7" w:rsidR="006F1DBF" w:rsidRPr="006F1DBF" w:rsidRDefault="006F1DBF" w:rsidP="006F1DBF">
      <w:pPr>
        <w:rPr>
          <w:rFonts w:asciiTheme="minorHAnsi" w:hAnsiTheme="minorHAnsi" w:cstheme="minorHAnsi"/>
        </w:rPr>
      </w:pPr>
      <w:r w:rsidRPr="006F1DBF">
        <w:rPr>
          <w:rFonts w:asciiTheme="minorHAnsi" w:hAnsiTheme="minorHAnsi" w:cstheme="minorHAnsi"/>
        </w:rPr>
        <w:t>Overall zijn de resultaten van de uitkomsten van de cliënttevredenheid goed te noemen. Ambulant: 8,5 / Klinisch 8,5 / Wonen: nog niet bekend (2022 8,4). </w:t>
      </w:r>
      <w:r>
        <w:rPr>
          <w:rFonts w:asciiTheme="minorHAnsi" w:hAnsiTheme="minorHAnsi" w:cstheme="minorHAnsi"/>
        </w:rPr>
        <w:br/>
      </w:r>
      <w:r w:rsidRPr="006F1DBF">
        <w:rPr>
          <w:rFonts w:asciiTheme="minorHAnsi" w:hAnsiTheme="minorHAnsi" w:cstheme="minorHAnsi"/>
        </w:rPr>
        <w:t>Tot slot is van belang dat in de medezeggenschap de vertegenwoordiging van de forensische zorg geregeld is. Binnen de CR en OR is aandacht voor de forensische zorg.  </w:t>
      </w:r>
    </w:p>
    <w:p w14:paraId="0790E029" w14:textId="77777777" w:rsidR="006F1DBF" w:rsidRPr="006F1DBF" w:rsidRDefault="006F1DBF" w:rsidP="006F1DBF">
      <w:pPr>
        <w:rPr>
          <w:rFonts w:asciiTheme="minorHAnsi" w:hAnsiTheme="minorHAnsi" w:cstheme="minorHAnsi"/>
        </w:rPr>
      </w:pPr>
      <w:r w:rsidRPr="006F1DBF">
        <w:rPr>
          <w:rFonts w:asciiTheme="minorHAnsi" w:hAnsiTheme="minorHAnsi" w:cstheme="minorHAnsi"/>
        </w:rPr>
        <w:t>Bij De Brug zijn de responspercentages de afgelopen jaren sterk toegenomen. De vragenlijsten worden om het jaar uitgezet. Er is daarom geen meting beschikbaar uit 2025.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5"/>
        <w:gridCol w:w="2745"/>
        <w:gridCol w:w="2745"/>
      </w:tblGrid>
      <w:tr w:rsidR="006F1DBF" w:rsidRPr="006F1DBF" w14:paraId="4F8A2460" w14:textId="77777777">
        <w:trPr>
          <w:trHeight w:val="300"/>
        </w:trPr>
        <w:tc>
          <w:tcPr>
            <w:tcW w:w="2745" w:type="dxa"/>
            <w:tcBorders>
              <w:top w:val="single" w:sz="6" w:space="0" w:color="000000"/>
              <w:left w:val="single" w:sz="6" w:space="0" w:color="000000"/>
              <w:bottom w:val="single" w:sz="6" w:space="0" w:color="000000"/>
              <w:right w:val="single" w:sz="6" w:space="0" w:color="000000"/>
            </w:tcBorders>
            <w:shd w:val="clear" w:color="auto" w:fill="FFC000"/>
            <w:hideMark/>
          </w:tcPr>
          <w:p w14:paraId="191D8066" w14:textId="77777777" w:rsidR="006F1DBF" w:rsidRPr="006F1DBF" w:rsidRDefault="006F1DBF" w:rsidP="006F1DBF">
            <w:pPr>
              <w:spacing w:after="0" w:line="240" w:lineRule="auto"/>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i/>
                <w:iCs/>
                <w:kern w:val="0"/>
                <w:sz w:val="20"/>
                <w:szCs w:val="20"/>
                <w:lang w:eastAsia="nl-NL"/>
                <w14:ligatures w14:val="none"/>
              </w:rPr>
              <w:t>De Brug</w:t>
            </w:r>
            <w:r w:rsidRPr="006F1DBF">
              <w:rPr>
                <w:rFonts w:ascii="Calibri" w:eastAsia="Times New Roman" w:hAnsi="Calibri" w:cs="Calibri"/>
                <w:kern w:val="0"/>
                <w:sz w:val="20"/>
                <w:szCs w:val="20"/>
                <w:lang w:eastAsia="nl-NL"/>
                <w14:ligatures w14:val="none"/>
              </w:rPr>
              <w:t> </w:t>
            </w:r>
          </w:p>
        </w:tc>
        <w:tc>
          <w:tcPr>
            <w:tcW w:w="2745" w:type="dxa"/>
            <w:tcBorders>
              <w:top w:val="single" w:sz="6" w:space="0" w:color="000000"/>
              <w:left w:val="single" w:sz="6" w:space="0" w:color="000000"/>
              <w:bottom w:val="single" w:sz="6" w:space="0" w:color="000000"/>
              <w:right w:val="single" w:sz="6" w:space="0" w:color="000000"/>
            </w:tcBorders>
            <w:shd w:val="clear" w:color="auto" w:fill="FFC000"/>
            <w:hideMark/>
          </w:tcPr>
          <w:p w14:paraId="1BD37EC8" w14:textId="77777777" w:rsidR="006F1DBF" w:rsidRPr="006F1DBF" w:rsidRDefault="006F1DBF" w:rsidP="006F1DBF">
            <w:pPr>
              <w:spacing w:after="0" w:line="240" w:lineRule="auto"/>
              <w:jc w:val="center"/>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b/>
                <w:bCs/>
                <w:color w:val="000000"/>
                <w:kern w:val="0"/>
                <w:lang w:eastAsia="nl-NL"/>
                <w14:ligatures w14:val="none"/>
              </w:rPr>
              <w:t>2022 N-waarde</w:t>
            </w:r>
            <w:r w:rsidRPr="006F1DBF">
              <w:rPr>
                <w:rFonts w:ascii="Calibri" w:eastAsia="Times New Roman" w:hAnsi="Calibri" w:cs="Calibri"/>
                <w:color w:val="000000"/>
                <w:kern w:val="0"/>
                <w:lang w:eastAsia="nl-NL"/>
                <w14:ligatures w14:val="none"/>
              </w:rPr>
              <w:t> </w:t>
            </w:r>
          </w:p>
        </w:tc>
        <w:tc>
          <w:tcPr>
            <w:tcW w:w="2745" w:type="dxa"/>
            <w:tcBorders>
              <w:top w:val="single" w:sz="6" w:space="0" w:color="000000"/>
              <w:left w:val="single" w:sz="6" w:space="0" w:color="000000"/>
              <w:bottom w:val="single" w:sz="6" w:space="0" w:color="000000"/>
              <w:right w:val="single" w:sz="6" w:space="0" w:color="000000"/>
            </w:tcBorders>
            <w:shd w:val="clear" w:color="auto" w:fill="FFC000"/>
            <w:hideMark/>
          </w:tcPr>
          <w:p w14:paraId="1BB37B33" w14:textId="77777777" w:rsidR="006F1DBF" w:rsidRPr="006F1DBF" w:rsidRDefault="006F1DBF" w:rsidP="006F1DBF">
            <w:pPr>
              <w:spacing w:after="0" w:line="240" w:lineRule="auto"/>
              <w:jc w:val="center"/>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b/>
                <w:bCs/>
                <w:color w:val="000000"/>
                <w:kern w:val="0"/>
                <w:lang w:eastAsia="nl-NL"/>
                <w14:ligatures w14:val="none"/>
              </w:rPr>
              <w:t>2024 N-waarde</w:t>
            </w:r>
            <w:r w:rsidRPr="006F1DBF">
              <w:rPr>
                <w:rFonts w:ascii="Calibri" w:eastAsia="Times New Roman" w:hAnsi="Calibri" w:cs="Calibri"/>
                <w:color w:val="000000"/>
                <w:kern w:val="0"/>
                <w:lang w:eastAsia="nl-NL"/>
                <w14:ligatures w14:val="none"/>
              </w:rPr>
              <w:t> </w:t>
            </w:r>
          </w:p>
        </w:tc>
      </w:tr>
      <w:tr w:rsidR="006F1DBF" w:rsidRPr="006F1DBF" w14:paraId="37BF41A0" w14:textId="77777777">
        <w:trPr>
          <w:trHeight w:val="300"/>
        </w:trPr>
        <w:tc>
          <w:tcPr>
            <w:tcW w:w="2745" w:type="dxa"/>
            <w:tcBorders>
              <w:top w:val="single" w:sz="6" w:space="0" w:color="000000"/>
              <w:left w:val="single" w:sz="6" w:space="0" w:color="000000"/>
              <w:bottom w:val="single" w:sz="6" w:space="0" w:color="000000"/>
              <w:right w:val="single" w:sz="6" w:space="0" w:color="000000"/>
            </w:tcBorders>
            <w:shd w:val="clear" w:color="auto" w:fill="FFC000"/>
            <w:hideMark/>
          </w:tcPr>
          <w:p w14:paraId="01A25058" w14:textId="77777777" w:rsidR="006F1DBF" w:rsidRPr="006F1DBF" w:rsidRDefault="006F1DBF" w:rsidP="006F1DBF">
            <w:pPr>
              <w:spacing w:after="0" w:line="240" w:lineRule="auto"/>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b/>
                <w:bCs/>
                <w:kern w:val="0"/>
                <w:sz w:val="20"/>
                <w:szCs w:val="20"/>
                <w:lang w:eastAsia="nl-NL"/>
                <w14:ligatures w14:val="none"/>
              </w:rPr>
              <w:t>Ambulante behandeling</w:t>
            </w:r>
            <w:r w:rsidRPr="006F1DBF">
              <w:rPr>
                <w:rFonts w:ascii="Calibri" w:eastAsia="Times New Roman" w:hAnsi="Calibri" w:cs="Calibri"/>
                <w:kern w:val="0"/>
                <w:sz w:val="20"/>
                <w:szCs w:val="20"/>
                <w:lang w:eastAsia="nl-NL"/>
                <w14:ligatures w14:val="none"/>
              </w:rPr>
              <w:t> </w:t>
            </w:r>
          </w:p>
        </w:tc>
        <w:tc>
          <w:tcPr>
            <w:tcW w:w="2745" w:type="dxa"/>
            <w:tcBorders>
              <w:top w:val="single" w:sz="6" w:space="0" w:color="000000"/>
              <w:left w:val="single" w:sz="6" w:space="0" w:color="000000"/>
              <w:bottom w:val="single" w:sz="6" w:space="0" w:color="000000"/>
              <w:right w:val="single" w:sz="6" w:space="0" w:color="000000"/>
            </w:tcBorders>
            <w:hideMark/>
          </w:tcPr>
          <w:p w14:paraId="4AF0EECC" w14:textId="77777777" w:rsidR="006F1DBF" w:rsidRPr="006F1DBF" w:rsidRDefault="006F1DBF" w:rsidP="006F1DBF">
            <w:pPr>
              <w:spacing w:after="0" w:line="240" w:lineRule="auto"/>
              <w:jc w:val="center"/>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color w:val="000000"/>
                <w:kern w:val="0"/>
                <w:lang w:eastAsia="nl-NL"/>
                <w14:ligatures w14:val="none"/>
              </w:rPr>
              <w:t>16 </w:t>
            </w:r>
          </w:p>
        </w:tc>
        <w:tc>
          <w:tcPr>
            <w:tcW w:w="2745" w:type="dxa"/>
            <w:tcBorders>
              <w:top w:val="single" w:sz="6" w:space="0" w:color="000000"/>
              <w:left w:val="single" w:sz="6" w:space="0" w:color="000000"/>
              <w:bottom w:val="single" w:sz="6" w:space="0" w:color="000000"/>
              <w:right w:val="single" w:sz="6" w:space="0" w:color="000000"/>
            </w:tcBorders>
            <w:hideMark/>
          </w:tcPr>
          <w:p w14:paraId="1805F61C" w14:textId="77777777" w:rsidR="006F1DBF" w:rsidRPr="006F1DBF" w:rsidRDefault="006F1DBF" w:rsidP="006F1DBF">
            <w:pPr>
              <w:spacing w:after="0" w:line="240" w:lineRule="auto"/>
              <w:jc w:val="center"/>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color w:val="000000"/>
                <w:kern w:val="0"/>
                <w:lang w:eastAsia="nl-NL"/>
                <w14:ligatures w14:val="none"/>
              </w:rPr>
              <w:t>62 </w:t>
            </w:r>
          </w:p>
        </w:tc>
      </w:tr>
      <w:tr w:rsidR="006F1DBF" w:rsidRPr="006F1DBF" w14:paraId="3C7B9C42" w14:textId="77777777">
        <w:trPr>
          <w:trHeight w:val="300"/>
        </w:trPr>
        <w:tc>
          <w:tcPr>
            <w:tcW w:w="2745" w:type="dxa"/>
            <w:tcBorders>
              <w:top w:val="single" w:sz="6" w:space="0" w:color="000000"/>
              <w:left w:val="single" w:sz="6" w:space="0" w:color="000000"/>
              <w:bottom w:val="single" w:sz="6" w:space="0" w:color="000000"/>
              <w:right w:val="single" w:sz="6" w:space="0" w:color="000000"/>
            </w:tcBorders>
            <w:shd w:val="clear" w:color="auto" w:fill="FFC000"/>
            <w:hideMark/>
          </w:tcPr>
          <w:p w14:paraId="3F456C78" w14:textId="77777777" w:rsidR="006F1DBF" w:rsidRPr="006F1DBF" w:rsidRDefault="006F1DBF" w:rsidP="006F1DBF">
            <w:pPr>
              <w:spacing w:after="0" w:line="240" w:lineRule="auto"/>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b/>
                <w:bCs/>
                <w:kern w:val="0"/>
                <w:sz w:val="20"/>
                <w:szCs w:val="20"/>
                <w:lang w:eastAsia="nl-NL"/>
                <w14:ligatures w14:val="none"/>
              </w:rPr>
              <w:t>Begeleiding</w:t>
            </w:r>
            <w:r w:rsidRPr="006F1DBF">
              <w:rPr>
                <w:rFonts w:ascii="Calibri" w:eastAsia="Times New Roman" w:hAnsi="Calibri" w:cs="Calibri"/>
                <w:kern w:val="0"/>
                <w:sz w:val="20"/>
                <w:szCs w:val="20"/>
                <w:lang w:eastAsia="nl-NL"/>
                <w14:ligatures w14:val="none"/>
              </w:rPr>
              <w:t> </w:t>
            </w:r>
          </w:p>
        </w:tc>
        <w:tc>
          <w:tcPr>
            <w:tcW w:w="2745" w:type="dxa"/>
            <w:tcBorders>
              <w:top w:val="single" w:sz="6" w:space="0" w:color="000000"/>
              <w:left w:val="single" w:sz="6" w:space="0" w:color="000000"/>
              <w:bottom w:val="single" w:sz="6" w:space="0" w:color="000000"/>
              <w:right w:val="single" w:sz="6" w:space="0" w:color="000000"/>
            </w:tcBorders>
            <w:hideMark/>
          </w:tcPr>
          <w:p w14:paraId="655F0D29" w14:textId="77777777" w:rsidR="006F1DBF" w:rsidRPr="006F1DBF" w:rsidRDefault="006F1DBF" w:rsidP="006F1DBF">
            <w:pPr>
              <w:spacing w:after="0" w:line="240" w:lineRule="auto"/>
              <w:jc w:val="center"/>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color w:val="000000"/>
                <w:kern w:val="0"/>
                <w:lang w:eastAsia="nl-NL"/>
                <w14:ligatures w14:val="none"/>
              </w:rPr>
              <w:t>8 </w:t>
            </w:r>
          </w:p>
        </w:tc>
        <w:tc>
          <w:tcPr>
            <w:tcW w:w="2745" w:type="dxa"/>
            <w:tcBorders>
              <w:top w:val="single" w:sz="6" w:space="0" w:color="000000"/>
              <w:left w:val="single" w:sz="6" w:space="0" w:color="000000"/>
              <w:bottom w:val="single" w:sz="6" w:space="0" w:color="000000"/>
              <w:right w:val="single" w:sz="6" w:space="0" w:color="000000"/>
            </w:tcBorders>
            <w:hideMark/>
          </w:tcPr>
          <w:p w14:paraId="0A88C85F" w14:textId="77777777" w:rsidR="006F1DBF" w:rsidRPr="006F1DBF" w:rsidRDefault="006F1DBF" w:rsidP="006F1DBF">
            <w:pPr>
              <w:spacing w:after="0" w:line="240" w:lineRule="auto"/>
              <w:jc w:val="center"/>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color w:val="000000"/>
                <w:kern w:val="0"/>
                <w:lang w:eastAsia="nl-NL"/>
                <w14:ligatures w14:val="none"/>
              </w:rPr>
              <w:t>33 </w:t>
            </w:r>
          </w:p>
        </w:tc>
      </w:tr>
    </w:tbl>
    <w:p w14:paraId="2CB6D5FD" w14:textId="77777777" w:rsidR="006F1DBF" w:rsidRDefault="006F1DBF" w:rsidP="006F1DBF">
      <w:pPr>
        <w:rPr>
          <w:rFonts w:asciiTheme="minorHAnsi" w:hAnsiTheme="minorHAnsi" w:cstheme="minorHAnsi"/>
        </w:rPr>
      </w:pPr>
    </w:p>
    <w:p w14:paraId="532BF9BB" w14:textId="302CAB75" w:rsidR="006F1DBF" w:rsidRDefault="006F1DBF" w:rsidP="006F1DBF">
      <w:pPr>
        <w:rPr>
          <w:rFonts w:asciiTheme="minorHAnsi" w:hAnsiTheme="minorHAnsi" w:cstheme="minorHAnsi"/>
        </w:rPr>
      </w:pPr>
      <w:r w:rsidRPr="006F1DBF">
        <w:rPr>
          <w:rFonts w:asciiTheme="minorHAnsi" w:hAnsiTheme="minorHAnsi" w:cstheme="minorHAnsi"/>
        </w:rPr>
        <w:t>De resultaten van de uitkomst van de cliënttevredenheidsmeting bij De Brug zijn positief: zowel in 2022 als 2024 een gemiddeld cijfer voor begeleiding en behandeling van 8,6. Aandachtspunt uit de tevredenheidsmeting is de informatievoorziening aan cliënten. Positief gewaardeerd wordt de bejegening door medewerkers en het samen beslissen over de behandeling en/of begeleiding. </w:t>
      </w:r>
    </w:p>
    <w:p w14:paraId="3CBA7D72" w14:textId="77777777" w:rsidR="006F1DBF" w:rsidRDefault="006F1DBF">
      <w:pPr>
        <w:rPr>
          <w:rFonts w:asciiTheme="minorHAnsi" w:hAnsiTheme="minorHAnsi" w:cstheme="minorHAnsi"/>
        </w:rPr>
      </w:pPr>
      <w:r>
        <w:rPr>
          <w:rFonts w:asciiTheme="minorHAnsi" w:hAnsiTheme="minorHAnsi" w:cstheme="minorHAnsi"/>
        </w:rPr>
        <w:br w:type="page"/>
      </w:r>
    </w:p>
    <w:p w14:paraId="548F4AFC" w14:textId="12F337B1" w:rsidR="006F1DBF" w:rsidRPr="006F1DBF" w:rsidRDefault="006F1DBF" w:rsidP="006F1DBF">
      <w:pPr>
        <w:rPr>
          <w:rFonts w:asciiTheme="minorHAnsi" w:hAnsiTheme="minorHAnsi" w:cstheme="minorHAnsi"/>
          <w:sz w:val="28"/>
          <w:szCs w:val="28"/>
        </w:rPr>
      </w:pPr>
      <w:r w:rsidRPr="006F1DBF">
        <w:rPr>
          <w:rFonts w:asciiTheme="minorHAnsi" w:hAnsiTheme="minorHAnsi" w:cstheme="minorHAnsi"/>
          <w:b/>
          <w:bCs/>
          <w:sz w:val="24"/>
          <w:szCs w:val="24"/>
        </w:rPr>
        <w:lastRenderedPageBreak/>
        <w:t>4.4 Pijler 4: Samenwerken</w:t>
      </w:r>
      <w:r w:rsidRPr="006F1DBF">
        <w:rPr>
          <w:rFonts w:asciiTheme="minorHAnsi" w:hAnsiTheme="minorHAnsi" w:cstheme="minorHAnsi"/>
          <w:sz w:val="24"/>
          <w:szCs w:val="24"/>
        </w:rPr>
        <w:t> </w:t>
      </w:r>
      <w:r>
        <w:rPr>
          <w:rFonts w:asciiTheme="minorHAnsi" w:hAnsiTheme="minorHAnsi" w:cstheme="minorHAnsi"/>
          <w:sz w:val="28"/>
          <w:szCs w:val="28"/>
        </w:rPr>
        <w:br/>
      </w:r>
      <w:r w:rsidRPr="006F1DBF">
        <w:rPr>
          <w:rFonts w:asciiTheme="minorHAnsi" w:hAnsiTheme="minorHAnsi" w:cstheme="minorHAnsi"/>
        </w:rPr>
        <w:t>Onder de pijler Samenwerken vallen de thema's Deelname aan regio-overleggen en/of lerende netwerken, Overdracht/stapelzorg en Samenwerking in de keten.  </w:t>
      </w:r>
    </w:p>
    <w:p w14:paraId="6393CEC6" w14:textId="45C4B8B4" w:rsidR="006F1DBF" w:rsidRPr="006F1DBF" w:rsidRDefault="006F1DBF" w:rsidP="006F1DBF">
      <w:pPr>
        <w:rPr>
          <w:rFonts w:asciiTheme="minorHAnsi" w:hAnsiTheme="minorHAnsi" w:cstheme="minorHAnsi"/>
        </w:rPr>
      </w:pPr>
      <w:r w:rsidRPr="006F1DBF">
        <w:rPr>
          <w:rFonts w:asciiTheme="minorHAnsi" w:hAnsiTheme="minorHAnsi" w:cstheme="minorHAnsi"/>
        </w:rPr>
        <w:t> </w:t>
      </w:r>
      <w:r w:rsidRPr="006F1DBF">
        <w:rPr>
          <w:rFonts w:asciiTheme="minorHAnsi" w:hAnsiTheme="minorHAnsi" w:cstheme="minorHAnsi"/>
        </w:rPr>
        <w:br/>
      </w:r>
      <w:r w:rsidRPr="006F1DBF">
        <w:rPr>
          <w:rFonts w:asciiTheme="minorHAnsi" w:hAnsiTheme="minorHAnsi" w:cstheme="minorHAnsi"/>
          <w:b/>
          <w:bCs/>
        </w:rPr>
        <w:t>Deelname aan regio-overleggen en/of lerende netwerken </w:t>
      </w:r>
      <w:r w:rsidRPr="006F1DBF">
        <w:rPr>
          <w:rFonts w:asciiTheme="minorHAnsi" w:hAnsiTheme="minorHAnsi" w:cstheme="minorHAnsi"/>
          <w:noProof/>
        </w:rPr>
        <w:drawing>
          <wp:inline distT="0" distB="0" distL="0" distR="0" wp14:anchorId="3FC5E0BC" wp14:editId="6E87D5BA">
            <wp:extent cx="342900" cy="152400"/>
            <wp:effectExtent l="0" t="0" r="0" b="0"/>
            <wp:docPr id="508140500" name="Afbeelding 256" descr="1.400+ Groen Stoplicht Stockillustraties, royalty-free vector illustraties  en clipart - iStock | Rood stoplicht, Oranje stoplicht, Red traffic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 descr="1.400+ Groen Stoplicht Stockillustraties, royalty-free vector illustraties  en clipart - iStock | Rood stoplicht, Oranje stoplicht, Red traffic ligh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 cy="152400"/>
                    </a:xfrm>
                    <a:prstGeom prst="rect">
                      <a:avLst/>
                    </a:prstGeom>
                    <a:noFill/>
                    <a:ln>
                      <a:noFill/>
                    </a:ln>
                  </pic:spPr>
                </pic:pic>
              </a:graphicData>
            </a:graphic>
          </wp:inline>
        </w:drawing>
      </w:r>
      <w:r w:rsidRPr="006F1DBF">
        <w:rPr>
          <w:rFonts w:asciiTheme="minorHAnsi" w:hAnsiTheme="minorHAnsi" w:cstheme="minorHAnsi"/>
        </w:rPr>
        <w:t> </w:t>
      </w:r>
      <w:r>
        <w:rPr>
          <w:rFonts w:asciiTheme="minorHAnsi" w:hAnsiTheme="minorHAnsi" w:cstheme="minorHAnsi"/>
        </w:rPr>
        <w:br/>
      </w:r>
      <w:r w:rsidRPr="006F1DBF">
        <w:rPr>
          <w:rFonts w:asciiTheme="minorHAnsi" w:hAnsiTheme="minorHAnsi" w:cstheme="minorHAnsi"/>
        </w:rPr>
        <w:t>De programmamanager Forensische Zorg is lid van het FZ-beraad. Met deelname aan dit netwerk staan we in goede verbinding met andere instellingen die forensische zorg bieden. Dit biedt ons de mogelijkheid om kennis te delen en ervaringen uit te wisselen. Samenwerking met andere organisaties wordt actief gezocht, onder meer op de Dag van de Forensische Zorg. Regionaal is in 2025 een netwerk gecreëerd met </w:t>
      </w:r>
      <w:proofErr w:type="spellStart"/>
      <w:r w:rsidRPr="006F1DBF">
        <w:rPr>
          <w:rFonts w:asciiTheme="minorHAnsi" w:hAnsiTheme="minorHAnsi" w:cstheme="minorHAnsi"/>
        </w:rPr>
        <w:t>Humanitas</w:t>
      </w:r>
      <w:proofErr w:type="spellEnd"/>
      <w:r w:rsidRPr="006F1DBF">
        <w:rPr>
          <w:rFonts w:asciiTheme="minorHAnsi" w:hAnsiTheme="minorHAnsi" w:cstheme="minorHAnsi"/>
        </w:rPr>
        <w:t>, De Waag en </w:t>
      </w:r>
      <w:proofErr w:type="spellStart"/>
      <w:r w:rsidRPr="006F1DBF">
        <w:rPr>
          <w:rFonts w:asciiTheme="minorHAnsi" w:hAnsiTheme="minorHAnsi" w:cstheme="minorHAnsi"/>
        </w:rPr>
        <w:t>Boba</w:t>
      </w:r>
      <w:proofErr w:type="spellEnd"/>
      <w:r w:rsidRPr="006F1DBF">
        <w:rPr>
          <w:rFonts w:asciiTheme="minorHAnsi" w:hAnsiTheme="minorHAnsi" w:cstheme="minorHAnsi"/>
        </w:rPr>
        <w:t>. Dit netwerk is bedoeld om de onderlinge samenwerking te verbeteren, te bespreken waar we elkaar kunnen versterken en om op termijn gezamenlijk deskundigheidsbevordering te bieden. </w:t>
      </w:r>
    </w:p>
    <w:p w14:paraId="38706C1B" w14:textId="77777777" w:rsidR="006F1DBF" w:rsidRPr="006F1DBF" w:rsidRDefault="006F1DBF" w:rsidP="006F1DBF">
      <w:pPr>
        <w:rPr>
          <w:rFonts w:asciiTheme="minorHAnsi" w:hAnsiTheme="minorHAnsi" w:cstheme="minorHAnsi"/>
        </w:rPr>
      </w:pPr>
      <w:r w:rsidRPr="006F1DBF">
        <w:rPr>
          <w:rFonts w:asciiTheme="minorHAnsi" w:hAnsiTheme="minorHAnsi" w:cstheme="minorHAnsi"/>
        </w:rPr>
        <w:t>Twee ervaringsdeskundigen organiseren iedere zes weken een bijeenkomst op een woonvoorziening voor forensische zorg bij Stichting Ontmoeting. In deze bijeenkomsten staan thema’s als resocialisatie, herstelgerichte activiteiten en het opbouwen van een gezond netwerk centraal. Op deze manieren wordt actief kennis overgebracht en gebouwd aan een netwerk met andere zorgaanbieders in de forensische zorg.  </w:t>
      </w:r>
    </w:p>
    <w:p w14:paraId="52BE37B7" w14:textId="2EF7B36A" w:rsidR="006F1DBF" w:rsidRPr="006F1DBF" w:rsidRDefault="006F1DBF" w:rsidP="006F1DBF">
      <w:pPr>
        <w:rPr>
          <w:rFonts w:asciiTheme="minorHAnsi" w:hAnsiTheme="minorHAnsi" w:cstheme="minorHAnsi"/>
        </w:rPr>
      </w:pPr>
      <w:r w:rsidRPr="006F1DBF">
        <w:rPr>
          <w:rFonts w:asciiTheme="minorHAnsi" w:hAnsiTheme="minorHAnsi" w:cstheme="minorHAnsi"/>
        </w:rPr>
        <w:t>De Brug neemt op verzoek deel aan regionaal overleg van het Veiligheidshuis en is verder aangesloten bij het regionaal zorgoverleg. </w:t>
      </w:r>
      <w:r w:rsidRPr="006F1DBF">
        <w:rPr>
          <w:rFonts w:asciiTheme="minorHAnsi" w:hAnsiTheme="minorHAnsi" w:cstheme="minorHAnsi"/>
        </w:rPr>
        <w:br/>
        <w:t> </w:t>
      </w:r>
    </w:p>
    <w:p w14:paraId="2CC08FFD" w14:textId="4B139FA8" w:rsidR="006F1DBF" w:rsidRPr="006F1DBF" w:rsidRDefault="006F1DBF" w:rsidP="006F1DBF">
      <w:pPr>
        <w:rPr>
          <w:rFonts w:asciiTheme="minorHAnsi" w:hAnsiTheme="minorHAnsi" w:cstheme="minorHAnsi"/>
        </w:rPr>
      </w:pPr>
      <w:r w:rsidRPr="006F1DBF">
        <w:rPr>
          <w:rFonts w:asciiTheme="minorHAnsi" w:hAnsiTheme="minorHAnsi" w:cstheme="minorHAnsi"/>
          <w:b/>
          <w:bCs/>
        </w:rPr>
        <w:t>Overdracht/stapelzorg </w:t>
      </w:r>
      <w:r w:rsidRPr="006F1DBF">
        <w:rPr>
          <w:rFonts w:asciiTheme="minorHAnsi" w:hAnsiTheme="minorHAnsi" w:cstheme="minorHAnsi"/>
          <w:noProof/>
        </w:rPr>
        <w:drawing>
          <wp:inline distT="0" distB="0" distL="0" distR="0" wp14:anchorId="254B6371" wp14:editId="79547F74">
            <wp:extent cx="333375" cy="133350"/>
            <wp:effectExtent l="0" t="0" r="9525" b="0"/>
            <wp:docPr id="544231674" name="Afbeelding 255" descr="1.400+ Groen Stoplicht Stockillustraties, royalty-free vector illustraties  en clipart - iStock | Rood stoplicht, Oranje stoplicht, Red traffic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descr="1.400+ Groen Stoplicht Stockillustraties, royalty-free vector illustraties  en clipart - iStock | Rood stoplicht, Oranje stoplicht, Red traffic ligh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 cy="133350"/>
                    </a:xfrm>
                    <a:prstGeom prst="rect">
                      <a:avLst/>
                    </a:prstGeom>
                    <a:noFill/>
                    <a:ln>
                      <a:noFill/>
                    </a:ln>
                  </pic:spPr>
                </pic:pic>
              </a:graphicData>
            </a:graphic>
          </wp:inline>
        </w:drawing>
      </w:r>
      <w:r w:rsidRPr="006F1DBF">
        <w:rPr>
          <w:rFonts w:asciiTheme="minorHAnsi" w:hAnsiTheme="minorHAnsi" w:cstheme="minorHAnsi"/>
        </w:rPr>
        <w:t> </w:t>
      </w:r>
      <w:r>
        <w:rPr>
          <w:rFonts w:asciiTheme="minorHAnsi" w:hAnsiTheme="minorHAnsi" w:cstheme="minorHAnsi"/>
        </w:rPr>
        <w:br/>
      </w:r>
      <w:r w:rsidRPr="006F1DBF">
        <w:rPr>
          <w:rFonts w:asciiTheme="minorHAnsi" w:hAnsiTheme="minorHAnsi" w:cstheme="minorHAnsi"/>
        </w:rPr>
        <w:t>Wanneer een cliënt wordt aangemeld vanuit de PI vindt de kennismaking bij voorkeur plaats in de PI en wordt daar ook al een voortraject gestart om de overgang naar de behandeling en/of begeleiding te versoepelen. Als er sprake is van stapelzorg heeft de behandelende partij de coördinerende rol.  </w:t>
      </w:r>
    </w:p>
    <w:p w14:paraId="7260B027" w14:textId="77777777" w:rsidR="006F1DBF" w:rsidRPr="006F1DBF" w:rsidRDefault="006F1DBF" w:rsidP="006F1DBF">
      <w:pPr>
        <w:rPr>
          <w:rFonts w:asciiTheme="minorHAnsi" w:hAnsiTheme="minorHAnsi" w:cstheme="minorHAnsi"/>
        </w:rPr>
      </w:pPr>
      <w:r w:rsidRPr="006F1DBF">
        <w:rPr>
          <w:rFonts w:asciiTheme="minorHAnsi" w:hAnsiTheme="minorHAnsi" w:cstheme="minorHAnsi"/>
        </w:rPr>
        <w:t>Overdracht is gericht op continuïteit van zorg en goede overdracht van informatie. In de ambulante behandeling geven we vorm aan een warme overdracht met de reclassering middels een Behandel-Afstemmings-Gesprek (BAG). Op de polikliniek vindt daarnaast elke zes weken een forensisch MDO plaats. Bij een traject met ambulante behandeling en beschermd wonen vindt de kennismaking met de cliënt gezamenlijk plaats. Het vraagt nog wel verdere inzet om ervoor te zorgen dat behandelaren goed op de hoogte zijn van de begeleidingsdoelen en begeleiders beter op de hoogte zijn van de behandeldoelen.   </w:t>
      </w:r>
    </w:p>
    <w:p w14:paraId="0252C0CE" w14:textId="77777777" w:rsidR="006F1DBF" w:rsidRPr="006F1DBF" w:rsidRDefault="006F1DBF" w:rsidP="006F1DBF">
      <w:pPr>
        <w:rPr>
          <w:rFonts w:asciiTheme="minorHAnsi" w:hAnsiTheme="minorHAnsi" w:cstheme="minorHAnsi"/>
        </w:rPr>
      </w:pPr>
      <w:r w:rsidRPr="006F1DBF">
        <w:rPr>
          <w:rFonts w:asciiTheme="minorHAnsi" w:hAnsiTheme="minorHAnsi" w:cstheme="minorHAnsi"/>
        </w:rPr>
        <w:t>In de kliniek en beschermde woonvoorzieningen is er regelmatig een </w:t>
      </w:r>
      <w:proofErr w:type="spellStart"/>
      <w:r w:rsidRPr="006F1DBF">
        <w:rPr>
          <w:rFonts w:asciiTheme="minorHAnsi" w:hAnsiTheme="minorHAnsi" w:cstheme="minorHAnsi"/>
        </w:rPr>
        <w:t>Zorgafstemmingsgesprek</w:t>
      </w:r>
      <w:proofErr w:type="spellEnd"/>
      <w:r w:rsidRPr="006F1DBF">
        <w:rPr>
          <w:rFonts w:asciiTheme="minorHAnsi" w:hAnsiTheme="minorHAnsi" w:cstheme="minorHAnsi"/>
        </w:rPr>
        <w:t> (ZAG). Bij dit gesprek zijn in elk geval de reclassering, een betrokken behandelaar en begeleider en indien nodig een manager vertegenwoordigd. Hierin wordt met elkaar besproken welke zorg, behandeling en/of begeleiding passend is voor de cliënt en vindt afstemming plaats over het behandelbeleid.  </w:t>
      </w:r>
    </w:p>
    <w:p w14:paraId="1EE0FB41" w14:textId="2CA781F2" w:rsidR="006F1DBF" w:rsidRPr="006F1DBF" w:rsidRDefault="006F1DBF" w:rsidP="006F1DBF">
      <w:pPr>
        <w:rPr>
          <w:rFonts w:asciiTheme="minorHAnsi" w:hAnsiTheme="minorHAnsi" w:cstheme="minorHAnsi"/>
        </w:rPr>
      </w:pPr>
      <w:r w:rsidRPr="006F1DBF">
        <w:rPr>
          <w:rFonts w:asciiTheme="minorHAnsi" w:hAnsiTheme="minorHAnsi" w:cstheme="minorHAnsi"/>
        </w:rPr>
        <w:t>Vanuit de klinische zorg stromen cliënten regelmatig intern door naar de ambulante zorg van De Hoop, waarbij collega's elkaar weten te vinden voor overdracht van relevante informatie. In de verschillende overdrachtsmomenten en afstemmingsgesprekken is ook aandacht voor doelen die gericht zijn op uitstroom en nazorg, zoals dagbesteding, financiën, wonen en sociaal netwerk. </w:t>
      </w:r>
    </w:p>
    <w:p w14:paraId="3813A3C3" w14:textId="77777777" w:rsidR="006F1DBF" w:rsidRPr="006F1DBF" w:rsidRDefault="006F1DBF" w:rsidP="006F1DBF">
      <w:pPr>
        <w:rPr>
          <w:rFonts w:asciiTheme="minorHAnsi" w:hAnsiTheme="minorHAnsi" w:cstheme="minorHAnsi"/>
        </w:rPr>
      </w:pPr>
      <w:r w:rsidRPr="006F1DBF">
        <w:rPr>
          <w:rFonts w:asciiTheme="minorHAnsi" w:hAnsiTheme="minorHAnsi" w:cstheme="minorHAnsi"/>
        </w:rPr>
        <w:t>De Brug volgt op dit vlak de ontwikkelingen bij De Hoop. Momenteel vinden al </w:t>
      </w:r>
      <w:proofErr w:type="spellStart"/>
      <w:r w:rsidRPr="006F1DBF">
        <w:rPr>
          <w:rFonts w:asciiTheme="minorHAnsi" w:hAnsiTheme="minorHAnsi" w:cstheme="minorHAnsi"/>
        </w:rPr>
        <w:t>Zorgafstemmingsgesprekken</w:t>
      </w:r>
      <w:proofErr w:type="spellEnd"/>
      <w:r w:rsidRPr="006F1DBF">
        <w:rPr>
          <w:rFonts w:asciiTheme="minorHAnsi" w:hAnsiTheme="minorHAnsi" w:cstheme="minorHAnsi"/>
        </w:rPr>
        <w:t> met Reclassering plaats. Ook wordt de toezichthouder bij iedere wijziging in het zorgtraject geïnformeerd. De Brug wil in 2026 onderzoeken in hoeverre de drie-</w:t>
      </w:r>
      <w:r w:rsidRPr="006F1DBF">
        <w:rPr>
          <w:rFonts w:asciiTheme="minorHAnsi" w:hAnsiTheme="minorHAnsi" w:cstheme="minorHAnsi"/>
        </w:rPr>
        <w:lastRenderedPageBreak/>
        <w:t>partijenovereenkomst meerwaarde kan hebben in de contacten met toezichthouders. De Hoop kan daarbij ondersteunen in eventuele implementatie hiervan. </w:t>
      </w:r>
    </w:p>
    <w:p w14:paraId="647E3DB0" w14:textId="77777777" w:rsidR="006F1DBF" w:rsidRPr="006F1DBF" w:rsidRDefault="006F1DBF" w:rsidP="006F1DBF">
      <w:pPr>
        <w:rPr>
          <w:rFonts w:asciiTheme="minorHAnsi" w:hAnsiTheme="minorHAnsi" w:cstheme="minorHAnsi"/>
        </w:rPr>
      </w:pPr>
      <w:r w:rsidRPr="006F1DBF">
        <w:rPr>
          <w:rFonts w:asciiTheme="minorHAnsi" w:hAnsiTheme="minorHAnsi" w:cstheme="minorHAnsi"/>
        </w:rPr>
        <w:t> </w:t>
      </w:r>
    </w:p>
    <w:p w14:paraId="4800598A" w14:textId="77777777" w:rsidR="006F1DBF" w:rsidRPr="006F1DBF" w:rsidRDefault="006F1DBF" w:rsidP="006F1DBF">
      <w:pPr>
        <w:rPr>
          <w:rFonts w:asciiTheme="minorHAnsi" w:hAnsiTheme="minorHAnsi" w:cstheme="minorHAnsi"/>
        </w:rPr>
      </w:pPr>
      <w:r w:rsidRPr="006F1DBF">
        <w:rPr>
          <w:rFonts w:asciiTheme="minorHAnsi" w:hAnsiTheme="minorHAnsi" w:cstheme="minorHAnsi"/>
          <w:b/>
          <w:bCs/>
        </w:rPr>
        <w:t>Samenwerking in de keten </w:t>
      </w:r>
      <w:r w:rsidRPr="006F1DBF">
        <w:rPr>
          <w:rFonts w:asciiTheme="minorHAnsi" w:hAnsiTheme="minorHAnsi" w:cstheme="minorHAnsi"/>
          <w:noProof/>
        </w:rPr>
        <w:drawing>
          <wp:inline distT="0" distB="0" distL="0" distR="0" wp14:anchorId="5832A30B" wp14:editId="20839139">
            <wp:extent cx="333375" cy="133350"/>
            <wp:effectExtent l="0" t="0" r="9525" b="0"/>
            <wp:docPr id="1441643321" name="Afbeelding 254" descr="1.400+ Groen Stoplicht Stockillustraties, royalty-free vector illustraties  en clipart - iStock | Rood stoplicht, Oranje stoplicht, Red traffic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 descr="1.400+ Groen Stoplicht Stockillustraties, royalty-free vector illustraties  en clipart - iStock | Rood stoplicht, Oranje stoplicht, Red traffic ligh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 cy="133350"/>
                    </a:xfrm>
                    <a:prstGeom prst="rect">
                      <a:avLst/>
                    </a:prstGeom>
                    <a:noFill/>
                    <a:ln>
                      <a:noFill/>
                    </a:ln>
                  </pic:spPr>
                </pic:pic>
              </a:graphicData>
            </a:graphic>
          </wp:inline>
        </w:drawing>
      </w:r>
      <w:r w:rsidRPr="006F1DBF">
        <w:rPr>
          <w:rFonts w:asciiTheme="minorHAnsi" w:hAnsiTheme="minorHAnsi" w:cstheme="minorHAnsi"/>
        </w:rPr>
        <w:t> </w:t>
      </w:r>
      <w:r>
        <w:rPr>
          <w:rFonts w:asciiTheme="minorHAnsi" w:hAnsiTheme="minorHAnsi" w:cstheme="minorHAnsi"/>
        </w:rPr>
        <w:br/>
      </w:r>
      <w:r w:rsidRPr="006F1DBF">
        <w:rPr>
          <w:rFonts w:asciiTheme="minorHAnsi" w:hAnsiTheme="minorHAnsi" w:cstheme="minorHAnsi"/>
        </w:rPr>
        <w:t>Onze zorgorganisaties leveren met name zorg die valt binnen de Zorgverzekeringswet. Dat maakt dat er al veel contact is met reguliere GGZ (binnen en buiten onze organisaties), maatschappelijk opvang en gemeenten. Voor de continuïteit van zorg voor forensische cliënten is dit van groot belang,</w:t>
      </w:r>
      <w:r>
        <w:rPr>
          <w:rFonts w:asciiTheme="minorHAnsi" w:hAnsiTheme="minorHAnsi" w:cstheme="minorHAnsi"/>
        </w:rPr>
        <w:t xml:space="preserve"> </w:t>
      </w:r>
      <w:r w:rsidRPr="006F1DBF">
        <w:rPr>
          <w:rFonts w:asciiTheme="minorHAnsi" w:hAnsiTheme="minorHAnsi" w:cstheme="minorHAnsi"/>
        </w:rPr>
        <w:t>bijvoorbeeld in de overdracht van ambulante behandeling naar de (specialistische) ggz of voortzetting van een traject binnen de </w:t>
      </w:r>
      <w:proofErr w:type="spellStart"/>
      <w:r w:rsidRPr="006F1DBF">
        <w:rPr>
          <w:rFonts w:asciiTheme="minorHAnsi" w:hAnsiTheme="minorHAnsi" w:cstheme="minorHAnsi"/>
        </w:rPr>
        <w:t>Wmo</w:t>
      </w:r>
      <w:proofErr w:type="spellEnd"/>
      <w:r w:rsidRPr="006F1DBF">
        <w:rPr>
          <w:rFonts w:asciiTheme="minorHAnsi" w:hAnsiTheme="minorHAnsi" w:cstheme="minorHAnsi"/>
        </w:rPr>
        <w:t>. De Hoop is daarnaast aangesloten bij een aantal mentale gezondheidsnetwerken, waarin de samenwerking met andere organisaties in het sociaal domein en de reguliere ggz concreet vorm krijgt.  </w:t>
      </w:r>
    </w:p>
    <w:p w14:paraId="5077DCD2" w14:textId="77777777" w:rsidR="006F1DBF" w:rsidRPr="006F1DBF" w:rsidRDefault="006F1DBF" w:rsidP="006F1DBF">
      <w:pPr>
        <w:rPr>
          <w:rFonts w:asciiTheme="minorHAnsi" w:hAnsiTheme="minorHAnsi" w:cstheme="minorHAnsi"/>
        </w:rPr>
      </w:pPr>
      <w:r w:rsidRPr="006F1DBF">
        <w:rPr>
          <w:rFonts w:asciiTheme="minorHAnsi" w:hAnsiTheme="minorHAnsi" w:cstheme="minorHAnsi"/>
        </w:rPr>
        <w:t>Om de samenwerking met de Reclassering te verbeteren is binnen De Hoop in 2023 de drie-partijenovereenkomst in gebruik genomen. In deze overeenkomst wordt samen met de cliënt en betrokken toezichthouder de afspraken over het (binnen de wettelijke kaders) informeren van elkaar vastgelegd. Het gebruik van de drie-partijenovereenkomst leidt tot meer duidelijkheid over de verantwoordelijkheden van de verschillende partijen en ondersteunt daarmee de samenwerking. Elke drie tot zes maanden vindt een overleg plaats met de bij een cliënt betrokken toezichthouder, ambulante behandelaar(s) en begeleiding. In dit overleg wordt de behandeling geëvalueerd en vindt onderlinge afstemming plaats over het vervolg.  </w:t>
      </w:r>
    </w:p>
    <w:p w14:paraId="215F4E64" w14:textId="77777777" w:rsidR="006F1DBF" w:rsidRPr="006F1DBF" w:rsidRDefault="006F1DBF" w:rsidP="006F1DBF">
      <w:pPr>
        <w:rPr>
          <w:rFonts w:asciiTheme="minorHAnsi" w:hAnsiTheme="minorHAnsi" w:cstheme="minorHAnsi"/>
        </w:rPr>
      </w:pPr>
      <w:r w:rsidRPr="006F1DBF">
        <w:rPr>
          <w:rFonts w:asciiTheme="minorHAnsi" w:hAnsiTheme="minorHAnsi" w:cstheme="minorHAnsi"/>
        </w:rPr>
        <w:t>In 2024 en 2025 is een mogelijke samenwerking met Stichting Ontmoeting verkend. Stichting Ontmoeting biedt begeleiding aan mensen die zijn vastgelopen op verschillende levensgebieden, van dak- en thuisloosheid tot schulden of verlies van een netwerk. Ontmoeting biedt maatschappelijke hulp en persoonlijke begeleiding. Ook biedt deze organisatie veldwerk en bemoeizorg aan mensen die op straat slapen. Medio juli 2025 bleek er onvoldoende draagvlak voor een bestuurlijke fusie en kwam het verkenningsproces ten einde. Het aanbod van De Hoop en Ontmoeting overlapt op het gebied van (woon)begeleiding, inloophuizen en forensisch zorgaanbod. De contacten die zijn gelegd hebben wel geleid tot nauwere samenwerking in de keten. Zo biedt Ontmoeting bovenregionale BW en zien we dat cliënten zonder regiobinding met woonbehoefte tegenwoordig meer naar deze voorzieningen verwezen worden. </w:t>
      </w:r>
      <w:r w:rsidRPr="006F1DBF">
        <w:rPr>
          <w:rFonts w:asciiTheme="minorHAnsi" w:hAnsiTheme="minorHAnsi" w:cstheme="minorHAnsi"/>
        </w:rPr>
        <w:br/>
        <w:t> </w:t>
      </w:r>
      <w:r w:rsidRPr="006F1DBF">
        <w:rPr>
          <w:rFonts w:asciiTheme="minorHAnsi" w:hAnsiTheme="minorHAnsi" w:cstheme="minorHAnsi"/>
        </w:rPr>
        <w:br/>
        <w:t>In de gemeente Katwijk is De Brug uitvoerder van het nazorgproject voor ex-gedetineerden. Een casemanager vanuit De Brug begeleidt de ex-gedetineerde in zijn/haar proces na detentie om de ‘landing’ in de samenleving te vergemakkelijken. Dat betekent in de praktijk dat de persoon ondersteund wordt in allerlei regelzaken. Ook wordt welzijnswerk ingezet en is er overzicht over de verschillende zorgpartijen die eventueel betrokken zijn. </w:t>
      </w:r>
    </w:p>
    <w:p w14:paraId="6C31ADFC" w14:textId="516DA098" w:rsidR="006F1DBF" w:rsidRDefault="006F1DBF">
      <w:pPr>
        <w:rPr>
          <w:rFonts w:asciiTheme="minorHAnsi" w:hAnsiTheme="minorHAnsi" w:cstheme="minorHAnsi"/>
        </w:rPr>
      </w:pPr>
      <w:r>
        <w:rPr>
          <w:rFonts w:asciiTheme="minorHAnsi" w:hAnsiTheme="minorHAnsi" w:cstheme="minorHAnsi"/>
        </w:rPr>
        <w:br w:type="page"/>
      </w:r>
    </w:p>
    <w:p w14:paraId="75B6D98E" w14:textId="77777777" w:rsidR="006F1DBF" w:rsidRPr="006F1DBF" w:rsidRDefault="006F1DBF" w:rsidP="006F1DBF">
      <w:pPr>
        <w:rPr>
          <w:rFonts w:asciiTheme="minorHAnsi" w:hAnsiTheme="minorHAnsi" w:cstheme="minorHAnsi"/>
        </w:rPr>
      </w:pPr>
    </w:p>
    <w:p w14:paraId="6E40135E" w14:textId="15E3AFB4" w:rsidR="006F1DBF" w:rsidRPr="006F1DBF" w:rsidRDefault="006F1DBF" w:rsidP="006F1DBF">
      <w:pPr>
        <w:rPr>
          <w:rFonts w:asciiTheme="minorHAnsi" w:hAnsiTheme="minorHAnsi" w:cstheme="minorHAnsi"/>
          <w:sz w:val="24"/>
          <w:szCs w:val="24"/>
        </w:rPr>
      </w:pPr>
      <w:r w:rsidRPr="006F1DBF">
        <w:rPr>
          <w:rFonts w:asciiTheme="minorHAnsi" w:hAnsiTheme="minorHAnsi" w:cstheme="minorHAnsi"/>
          <w:b/>
          <w:bCs/>
          <w:sz w:val="24"/>
          <w:szCs w:val="24"/>
        </w:rPr>
        <w:t>4.5 Pijler 5: Informeren over resultaten</w:t>
      </w:r>
      <w:r w:rsidRPr="006F1DBF">
        <w:rPr>
          <w:rFonts w:asciiTheme="minorHAnsi" w:hAnsiTheme="minorHAnsi" w:cstheme="minorHAnsi"/>
          <w:sz w:val="24"/>
          <w:szCs w:val="24"/>
        </w:rPr>
        <w:t> </w:t>
      </w:r>
      <w:r>
        <w:rPr>
          <w:rFonts w:asciiTheme="minorHAnsi" w:hAnsiTheme="minorHAnsi" w:cstheme="minorHAnsi"/>
          <w:sz w:val="24"/>
          <w:szCs w:val="24"/>
        </w:rPr>
        <w:br/>
      </w:r>
      <w:r w:rsidRPr="006F1DBF">
        <w:rPr>
          <w:rFonts w:asciiTheme="minorHAnsi" w:hAnsiTheme="minorHAnsi" w:cstheme="minorHAnsi"/>
        </w:rPr>
        <w:t>Pijler 5 van het Kwaliteitskader beschrijft op welke wijze organisaties informeren over hun activiteiten en resultaten. Het jaarlijks kwaliteitsverslag maakt inzichtelijk waar we staan op het gebied van kwaliteit. Voor de binnen de verschillende settingen afgesproken prestatie-indicatoren worden hieronder de resultaten weergegeven. </w:t>
      </w:r>
    </w:p>
    <w:p w14:paraId="0257D0CB" w14:textId="35115095" w:rsidR="006F1DBF" w:rsidRPr="006F1DBF" w:rsidRDefault="006F1DBF" w:rsidP="006F1DBF">
      <w:pPr>
        <w:rPr>
          <w:rFonts w:asciiTheme="minorHAnsi" w:hAnsiTheme="minorHAnsi" w:cstheme="minorHAnsi"/>
        </w:rPr>
      </w:pPr>
      <w:r w:rsidRPr="006F1DBF">
        <w:rPr>
          <w:rFonts w:asciiTheme="minorHAnsi" w:hAnsiTheme="minorHAnsi" w:cstheme="minorHAnsi"/>
          <w:b/>
          <w:bCs/>
        </w:rPr>
        <w:t>4.5.1 Indicator 1: Risicotaxatie in de settingen klinisch en ambulant </w:t>
      </w:r>
      <w:r w:rsidRPr="006F1DBF">
        <w:rPr>
          <w:rFonts w:asciiTheme="minorHAnsi" w:hAnsiTheme="minorHAnsi" w:cstheme="minorHAnsi"/>
        </w:rPr>
        <w:t> </w:t>
      </w:r>
      <w:r>
        <w:rPr>
          <w:rFonts w:asciiTheme="minorHAnsi" w:hAnsiTheme="minorHAnsi" w:cstheme="minorHAnsi"/>
        </w:rPr>
        <w:br/>
      </w:r>
      <w:r w:rsidRPr="006F1DBF">
        <w:rPr>
          <w:rFonts w:asciiTheme="minorHAnsi" w:hAnsiTheme="minorHAnsi" w:cstheme="minorHAnsi"/>
        </w:rPr>
        <w:t>Indicator 1 meet het uitvoeren van risicotaxaties bij cliënten. Dit is geoperationaliseerd in het aantal geldige metingen met risicotaxatie-instrumenten op de peildatum (31 december 2025). In onderstaande tabel is het percentage van geldige metingen weergegeven. In de ambulante setting wordt minimaal halfjaarlijks de Forensisch Ambulante Risico Evaluatie (FARE) afgenomen. In de klinische setting nemen we minimaal jaarlijks de HKT-R (Historisch, Klinisch, Toekomst – Revisie) af. </w:t>
      </w:r>
    </w:p>
    <w:p w14:paraId="4185825C" w14:textId="5294D647" w:rsidR="006F1DBF" w:rsidRPr="006F1DBF" w:rsidRDefault="006F1DBF" w:rsidP="006F1DBF">
      <w:pPr>
        <w:spacing w:after="0" w:line="240" w:lineRule="auto"/>
        <w:textAlignment w:val="baseline"/>
        <w:rPr>
          <w:rFonts w:ascii="Segoe UI" w:eastAsia="Times New Roman" w:hAnsi="Segoe UI" w:cs="Segoe UI"/>
          <w:kern w:val="0"/>
          <w:sz w:val="18"/>
          <w:szCs w:val="18"/>
          <w:lang w:eastAsia="nl-NL"/>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990"/>
        <w:gridCol w:w="3540"/>
      </w:tblGrid>
      <w:tr w:rsidR="006F1DBF" w:rsidRPr="006F1DBF" w14:paraId="5E9DF621" w14:textId="77777777">
        <w:trPr>
          <w:trHeight w:val="270"/>
        </w:trPr>
        <w:tc>
          <w:tcPr>
            <w:tcW w:w="3675" w:type="dxa"/>
            <w:tcBorders>
              <w:top w:val="single" w:sz="6" w:space="0" w:color="000000"/>
              <w:left w:val="single" w:sz="6" w:space="0" w:color="000000"/>
              <w:bottom w:val="single" w:sz="6" w:space="0" w:color="000000"/>
              <w:right w:val="single" w:sz="6" w:space="0" w:color="000000"/>
            </w:tcBorders>
            <w:hideMark/>
          </w:tcPr>
          <w:p w14:paraId="39E6E341" w14:textId="77777777" w:rsidR="006F1DBF" w:rsidRPr="006F1DBF" w:rsidRDefault="006F1DBF" w:rsidP="006F1DBF">
            <w:pPr>
              <w:spacing w:after="0" w:line="240" w:lineRule="auto"/>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b/>
                <w:bCs/>
                <w:color w:val="000000"/>
                <w:kern w:val="0"/>
                <w:lang w:eastAsia="nl-NL"/>
                <w14:ligatures w14:val="none"/>
              </w:rPr>
              <w:t>Indicator 1 – De Hoop</w:t>
            </w:r>
            <w:r w:rsidRPr="006F1DBF">
              <w:rPr>
                <w:rFonts w:ascii="Calibri" w:eastAsia="Times New Roman" w:hAnsi="Calibri" w:cs="Calibri"/>
                <w:color w:val="000000"/>
                <w:kern w:val="0"/>
                <w:lang w:eastAsia="nl-NL"/>
                <w14:ligatures w14:val="none"/>
              </w:rPr>
              <w:t> </w:t>
            </w:r>
          </w:p>
        </w:tc>
        <w:tc>
          <w:tcPr>
            <w:tcW w:w="990" w:type="dxa"/>
            <w:tcBorders>
              <w:top w:val="single" w:sz="6" w:space="0" w:color="000000"/>
              <w:left w:val="single" w:sz="6" w:space="0" w:color="000000"/>
              <w:bottom w:val="single" w:sz="6" w:space="0" w:color="000000"/>
              <w:right w:val="single" w:sz="6" w:space="0" w:color="000000"/>
            </w:tcBorders>
            <w:hideMark/>
          </w:tcPr>
          <w:p w14:paraId="69A91AAA" w14:textId="77777777" w:rsidR="006F1DBF" w:rsidRPr="006F1DBF" w:rsidRDefault="006F1DBF" w:rsidP="006F1DBF">
            <w:pPr>
              <w:spacing w:after="0" w:line="240" w:lineRule="auto"/>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b/>
                <w:bCs/>
                <w:color w:val="000000"/>
                <w:kern w:val="0"/>
                <w:lang w:eastAsia="nl-NL"/>
                <w14:ligatures w14:val="none"/>
              </w:rPr>
              <w:t>Aantal</w:t>
            </w:r>
            <w:r w:rsidRPr="006F1DBF">
              <w:rPr>
                <w:rFonts w:ascii="Calibri" w:eastAsia="Times New Roman" w:hAnsi="Calibri" w:cs="Calibri"/>
                <w:color w:val="000000"/>
                <w:kern w:val="0"/>
                <w:lang w:eastAsia="nl-NL"/>
                <w14:ligatures w14:val="none"/>
              </w:rPr>
              <w:t> </w:t>
            </w:r>
          </w:p>
        </w:tc>
        <w:tc>
          <w:tcPr>
            <w:tcW w:w="3540" w:type="dxa"/>
            <w:tcBorders>
              <w:top w:val="single" w:sz="6" w:space="0" w:color="000000"/>
              <w:left w:val="single" w:sz="6" w:space="0" w:color="000000"/>
              <w:bottom w:val="single" w:sz="6" w:space="0" w:color="000000"/>
              <w:right w:val="single" w:sz="6" w:space="0" w:color="000000"/>
            </w:tcBorders>
            <w:hideMark/>
          </w:tcPr>
          <w:p w14:paraId="1770D4BC" w14:textId="77777777" w:rsidR="006F1DBF" w:rsidRPr="006F1DBF" w:rsidRDefault="006F1DBF" w:rsidP="006F1DBF">
            <w:pPr>
              <w:spacing w:after="0" w:line="240" w:lineRule="auto"/>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b/>
                <w:bCs/>
                <w:color w:val="000000"/>
                <w:kern w:val="0"/>
                <w:lang w:eastAsia="nl-NL"/>
                <w14:ligatures w14:val="none"/>
              </w:rPr>
              <w:t>Percentage geldige metingen</w:t>
            </w:r>
            <w:r w:rsidRPr="006F1DBF">
              <w:rPr>
                <w:rFonts w:ascii="Calibri" w:eastAsia="Times New Roman" w:hAnsi="Calibri" w:cs="Calibri"/>
                <w:color w:val="000000"/>
                <w:kern w:val="0"/>
                <w:lang w:eastAsia="nl-NL"/>
                <w14:ligatures w14:val="none"/>
              </w:rPr>
              <w:t> </w:t>
            </w:r>
          </w:p>
        </w:tc>
      </w:tr>
      <w:tr w:rsidR="006F1DBF" w:rsidRPr="006F1DBF" w14:paraId="2993CA7E" w14:textId="77777777">
        <w:trPr>
          <w:trHeight w:val="270"/>
        </w:trPr>
        <w:tc>
          <w:tcPr>
            <w:tcW w:w="3675" w:type="dxa"/>
            <w:tcBorders>
              <w:top w:val="single" w:sz="6" w:space="0" w:color="000000"/>
              <w:left w:val="single" w:sz="6" w:space="0" w:color="000000"/>
              <w:bottom w:val="single" w:sz="6" w:space="0" w:color="000000"/>
              <w:right w:val="single" w:sz="6" w:space="0" w:color="000000"/>
            </w:tcBorders>
            <w:shd w:val="clear" w:color="auto" w:fill="F2F2F2"/>
            <w:hideMark/>
          </w:tcPr>
          <w:p w14:paraId="6CF834EA" w14:textId="77777777" w:rsidR="006F1DBF" w:rsidRPr="006F1DBF" w:rsidRDefault="006F1DBF" w:rsidP="006F1DBF">
            <w:pPr>
              <w:spacing w:after="0" w:line="240" w:lineRule="auto"/>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color w:val="000000"/>
                <w:kern w:val="0"/>
                <w:lang w:eastAsia="nl-NL"/>
                <w14:ligatures w14:val="none"/>
              </w:rPr>
              <w:t>Ambulant - # cliënten in zorg 3mnd+ </w:t>
            </w:r>
          </w:p>
        </w:tc>
        <w:tc>
          <w:tcPr>
            <w:tcW w:w="990" w:type="dxa"/>
            <w:tcBorders>
              <w:top w:val="single" w:sz="6" w:space="0" w:color="000000"/>
              <w:left w:val="single" w:sz="6" w:space="0" w:color="000000"/>
              <w:bottom w:val="single" w:sz="6" w:space="0" w:color="000000"/>
              <w:right w:val="single" w:sz="6" w:space="0" w:color="000000"/>
            </w:tcBorders>
            <w:shd w:val="clear" w:color="auto" w:fill="F2F2F2"/>
            <w:hideMark/>
          </w:tcPr>
          <w:p w14:paraId="0912E88D" w14:textId="77777777" w:rsidR="006F1DBF" w:rsidRPr="006F1DBF" w:rsidRDefault="006F1DBF" w:rsidP="006F1DBF">
            <w:pPr>
              <w:spacing w:after="0" w:line="240" w:lineRule="auto"/>
              <w:jc w:val="right"/>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kern w:val="0"/>
                <w:sz w:val="20"/>
                <w:szCs w:val="20"/>
                <w:lang w:eastAsia="nl-NL"/>
                <w14:ligatures w14:val="none"/>
              </w:rPr>
              <w:t>8 </w:t>
            </w:r>
          </w:p>
        </w:tc>
        <w:tc>
          <w:tcPr>
            <w:tcW w:w="3540" w:type="dxa"/>
            <w:tcBorders>
              <w:top w:val="single" w:sz="6" w:space="0" w:color="000000"/>
              <w:left w:val="single" w:sz="6" w:space="0" w:color="000000"/>
              <w:bottom w:val="single" w:sz="6" w:space="0" w:color="000000"/>
              <w:right w:val="single" w:sz="6" w:space="0" w:color="000000"/>
            </w:tcBorders>
            <w:shd w:val="clear" w:color="auto" w:fill="F2F2F2"/>
            <w:hideMark/>
          </w:tcPr>
          <w:p w14:paraId="3570204C" w14:textId="77777777" w:rsidR="006F1DBF" w:rsidRPr="006F1DBF" w:rsidRDefault="006F1DBF" w:rsidP="006F1DBF">
            <w:pPr>
              <w:spacing w:after="0" w:line="240" w:lineRule="auto"/>
              <w:jc w:val="right"/>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kern w:val="0"/>
                <w:sz w:val="20"/>
                <w:szCs w:val="20"/>
                <w:lang w:eastAsia="nl-NL"/>
                <w14:ligatures w14:val="none"/>
              </w:rPr>
              <w:t> </w:t>
            </w:r>
          </w:p>
        </w:tc>
      </w:tr>
      <w:tr w:rsidR="006F1DBF" w:rsidRPr="006F1DBF" w14:paraId="3310863B" w14:textId="77777777">
        <w:trPr>
          <w:trHeight w:val="270"/>
        </w:trPr>
        <w:tc>
          <w:tcPr>
            <w:tcW w:w="3675" w:type="dxa"/>
            <w:tcBorders>
              <w:top w:val="single" w:sz="6" w:space="0" w:color="000000"/>
              <w:left w:val="single" w:sz="6" w:space="0" w:color="000000"/>
              <w:bottom w:val="single" w:sz="6" w:space="0" w:color="000000"/>
              <w:right w:val="single" w:sz="6" w:space="0" w:color="000000"/>
            </w:tcBorders>
            <w:hideMark/>
          </w:tcPr>
          <w:p w14:paraId="25CC172C" w14:textId="77777777" w:rsidR="006F1DBF" w:rsidRPr="006F1DBF" w:rsidRDefault="006F1DBF" w:rsidP="006F1DBF">
            <w:pPr>
              <w:spacing w:after="0" w:line="240" w:lineRule="auto"/>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color w:val="000000"/>
                <w:kern w:val="0"/>
                <w:lang w:eastAsia="nl-NL"/>
                <w14:ligatures w14:val="none"/>
              </w:rPr>
              <w:t>Ambulant - # FARE </w:t>
            </w:r>
          </w:p>
        </w:tc>
        <w:tc>
          <w:tcPr>
            <w:tcW w:w="990" w:type="dxa"/>
            <w:tcBorders>
              <w:top w:val="single" w:sz="6" w:space="0" w:color="000000"/>
              <w:left w:val="single" w:sz="6" w:space="0" w:color="000000"/>
              <w:bottom w:val="single" w:sz="6" w:space="0" w:color="000000"/>
              <w:right w:val="single" w:sz="6" w:space="0" w:color="000000"/>
            </w:tcBorders>
            <w:hideMark/>
          </w:tcPr>
          <w:p w14:paraId="21A1ACD5" w14:textId="77777777" w:rsidR="006F1DBF" w:rsidRPr="006F1DBF" w:rsidRDefault="006F1DBF" w:rsidP="006F1DBF">
            <w:pPr>
              <w:spacing w:after="0" w:line="240" w:lineRule="auto"/>
              <w:jc w:val="right"/>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kern w:val="0"/>
                <w:sz w:val="20"/>
                <w:szCs w:val="20"/>
                <w:lang w:eastAsia="nl-NL"/>
                <w14:ligatures w14:val="none"/>
              </w:rPr>
              <w:t>3 </w:t>
            </w:r>
          </w:p>
        </w:tc>
        <w:tc>
          <w:tcPr>
            <w:tcW w:w="3540" w:type="dxa"/>
            <w:tcBorders>
              <w:top w:val="single" w:sz="6" w:space="0" w:color="000000"/>
              <w:left w:val="single" w:sz="6" w:space="0" w:color="000000"/>
              <w:bottom w:val="single" w:sz="6" w:space="0" w:color="000000"/>
              <w:right w:val="single" w:sz="6" w:space="0" w:color="000000"/>
            </w:tcBorders>
            <w:hideMark/>
          </w:tcPr>
          <w:p w14:paraId="5270238C" w14:textId="77777777" w:rsidR="006F1DBF" w:rsidRPr="006F1DBF" w:rsidRDefault="006F1DBF" w:rsidP="006F1DBF">
            <w:pPr>
              <w:spacing w:after="0" w:line="240" w:lineRule="auto"/>
              <w:jc w:val="right"/>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kern w:val="0"/>
                <w:sz w:val="20"/>
                <w:szCs w:val="20"/>
                <w:lang w:eastAsia="nl-NL"/>
                <w14:ligatures w14:val="none"/>
              </w:rPr>
              <w:t>28% </w:t>
            </w:r>
          </w:p>
        </w:tc>
      </w:tr>
      <w:tr w:rsidR="006F1DBF" w:rsidRPr="006F1DBF" w14:paraId="2D0DF6F9" w14:textId="77777777">
        <w:trPr>
          <w:trHeight w:val="270"/>
        </w:trPr>
        <w:tc>
          <w:tcPr>
            <w:tcW w:w="3675" w:type="dxa"/>
            <w:tcBorders>
              <w:top w:val="single" w:sz="6" w:space="0" w:color="000000"/>
              <w:left w:val="single" w:sz="6" w:space="0" w:color="000000"/>
              <w:bottom w:val="single" w:sz="6" w:space="0" w:color="000000"/>
              <w:right w:val="single" w:sz="6" w:space="0" w:color="000000"/>
            </w:tcBorders>
            <w:shd w:val="clear" w:color="auto" w:fill="F2F2F2"/>
            <w:hideMark/>
          </w:tcPr>
          <w:p w14:paraId="1BFA4D24" w14:textId="77777777" w:rsidR="006F1DBF" w:rsidRPr="006F1DBF" w:rsidRDefault="006F1DBF" w:rsidP="006F1DBF">
            <w:pPr>
              <w:spacing w:after="0" w:line="240" w:lineRule="auto"/>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color w:val="000000"/>
                <w:kern w:val="0"/>
                <w:lang w:eastAsia="nl-NL"/>
                <w14:ligatures w14:val="none"/>
              </w:rPr>
              <w:t>Klinisch - # cliënten in zorg 3mnd+ </w:t>
            </w:r>
          </w:p>
        </w:tc>
        <w:tc>
          <w:tcPr>
            <w:tcW w:w="990" w:type="dxa"/>
            <w:tcBorders>
              <w:top w:val="single" w:sz="6" w:space="0" w:color="000000"/>
              <w:left w:val="single" w:sz="6" w:space="0" w:color="000000"/>
              <w:bottom w:val="single" w:sz="6" w:space="0" w:color="000000"/>
              <w:right w:val="single" w:sz="6" w:space="0" w:color="000000"/>
            </w:tcBorders>
            <w:shd w:val="clear" w:color="auto" w:fill="F2F2F2"/>
            <w:hideMark/>
          </w:tcPr>
          <w:p w14:paraId="6C6E3165" w14:textId="77777777" w:rsidR="006F1DBF" w:rsidRPr="006F1DBF" w:rsidRDefault="006F1DBF" w:rsidP="006F1DBF">
            <w:pPr>
              <w:spacing w:after="0" w:line="240" w:lineRule="auto"/>
              <w:jc w:val="right"/>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kern w:val="0"/>
                <w:sz w:val="20"/>
                <w:szCs w:val="20"/>
                <w:lang w:eastAsia="nl-NL"/>
                <w14:ligatures w14:val="none"/>
              </w:rPr>
              <w:t>1 </w:t>
            </w:r>
          </w:p>
        </w:tc>
        <w:tc>
          <w:tcPr>
            <w:tcW w:w="3540" w:type="dxa"/>
            <w:tcBorders>
              <w:top w:val="single" w:sz="6" w:space="0" w:color="000000"/>
              <w:left w:val="single" w:sz="6" w:space="0" w:color="000000"/>
              <w:bottom w:val="single" w:sz="6" w:space="0" w:color="000000"/>
              <w:right w:val="single" w:sz="6" w:space="0" w:color="000000"/>
            </w:tcBorders>
            <w:shd w:val="clear" w:color="auto" w:fill="F2F2F2"/>
            <w:hideMark/>
          </w:tcPr>
          <w:p w14:paraId="5A69EF4B" w14:textId="77777777" w:rsidR="006F1DBF" w:rsidRPr="006F1DBF" w:rsidRDefault="006F1DBF" w:rsidP="006F1DBF">
            <w:pPr>
              <w:spacing w:after="0" w:line="240" w:lineRule="auto"/>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kern w:val="0"/>
                <w:sz w:val="20"/>
                <w:szCs w:val="20"/>
                <w:lang w:eastAsia="nl-NL"/>
                <w14:ligatures w14:val="none"/>
              </w:rPr>
              <w:t> </w:t>
            </w:r>
          </w:p>
        </w:tc>
      </w:tr>
      <w:tr w:rsidR="006F1DBF" w:rsidRPr="006F1DBF" w14:paraId="53AFF820" w14:textId="77777777">
        <w:trPr>
          <w:trHeight w:val="270"/>
        </w:trPr>
        <w:tc>
          <w:tcPr>
            <w:tcW w:w="3675" w:type="dxa"/>
            <w:tcBorders>
              <w:top w:val="single" w:sz="6" w:space="0" w:color="000000"/>
              <w:left w:val="single" w:sz="6" w:space="0" w:color="000000"/>
              <w:bottom w:val="single" w:sz="6" w:space="0" w:color="000000"/>
              <w:right w:val="single" w:sz="6" w:space="0" w:color="000000"/>
            </w:tcBorders>
            <w:hideMark/>
          </w:tcPr>
          <w:p w14:paraId="0BC8896C" w14:textId="77777777" w:rsidR="006F1DBF" w:rsidRPr="006F1DBF" w:rsidRDefault="006F1DBF" w:rsidP="006F1DBF">
            <w:pPr>
              <w:spacing w:after="0" w:line="240" w:lineRule="auto"/>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color w:val="000000"/>
                <w:kern w:val="0"/>
                <w:lang w:eastAsia="nl-NL"/>
                <w14:ligatures w14:val="none"/>
              </w:rPr>
              <w:t>Klinisch - # </w:t>
            </w:r>
            <w:proofErr w:type="spellStart"/>
            <w:r w:rsidRPr="006F1DBF">
              <w:rPr>
                <w:rFonts w:ascii="Calibri" w:eastAsia="Times New Roman" w:hAnsi="Calibri" w:cs="Calibri"/>
                <w:color w:val="000000"/>
                <w:kern w:val="0"/>
                <w:lang w:eastAsia="nl-NL"/>
                <w14:ligatures w14:val="none"/>
              </w:rPr>
              <w:t>HKTr</w:t>
            </w:r>
            <w:proofErr w:type="spellEnd"/>
            <w:r w:rsidRPr="006F1DBF">
              <w:rPr>
                <w:rFonts w:ascii="Calibri" w:eastAsia="Times New Roman" w:hAnsi="Calibri" w:cs="Calibri"/>
                <w:color w:val="000000"/>
                <w:kern w:val="0"/>
                <w:lang w:eastAsia="nl-NL"/>
                <w14:ligatures w14:val="none"/>
              </w:rPr>
              <w:t>  </w:t>
            </w:r>
          </w:p>
        </w:tc>
        <w:tc>
          <w:tcPr>
            <w:tcW w:w="990" w:type="dxa"/>
            <w:tcBorders>
              <w:top w:val="single" w:sz="6" w:space="0" w:color="000000"/>
              <w:left w:val="single" w:sz="6" w:space="0" w:color="000000"/>
              <w:bottom w:val="single" w:sz="6" w:space="0" w:color="000000"/>
              <w:right w:val="single" w:sz="6" w:space="0" w:color="000000"/>
            </w:tcBorders>
            <w:hideMark/>
          </w:tcPr>
          <w:p w14:paraId="274CBB58" w14:textId="77777777" w:rsidR="006F1DBF" w:rsidRPr="006F1DBF" w:rsidRDefault="006F1DBF" w:rsidP="006F1DBF">
            <w:pPr>
              <w:spacing w:after="0" w:line="240" w:lineRule="auto"/>
              <w:jc w:val="right"/>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kern w:val="0"/>
                <w:sz w:val="20"/>
                <w:szCs w:val="20"/>
                <w:lang w:eastAsia="nl-NL"/>
                <w14:ligatures w14:val="none"/>
              </w:rPr>
              <w:t>1 </w:t>
            </w:r>
          </w:p>
        </w:tc>
        <w:tc>
          <w:tcPr>
            <w:tcW w:w="3540" w:type="dxa"/>
            <w:tcBorders>
              <w:top w:val="single" w:sz="6" w:space="0" w:color="000000"/>
              <w:left w:val="single" w:sz="6" w:space="0" w:color="000000"/>
              <w:bottom w:val="single" w:sz="6" w:space="0" w:color="000000"/>
              <w:right w:val="single" w:sz="6" w:space="0" w:color="000000"/>
            </w:tcBorders>
            <w:hideMark/>
          </w:tcPr>
          <w:p w14:paraId="45BBE0E8" w14:textId="77777777" w:rsidR="006F1DBF" w:rsidRPr="006F1DBF" w:rsidRDefault="006F1DBF" w:rsidP="006F1DBF">
            <w:pPr>
              <w:spacing w:after="0" w:line="240" w:lineRule="auto"/>
              <w:jc w:val="right"/>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kern w:val="0"/>
                <w:sz w:val="20"/>
                <w:szCs w:val="20"/>
                <w:lang w:eastAsia="nl-NL"/>
                <w14:ligatures w14:val="none"/>
              </w:rPr>
              <w:t>100% </w:t>
            </w:r>
          </w:p>
        </w:tc>
      </w:tr>
    </w:tbl>
    <w:p w14:paraId="20CEC748" w14:textId="32ED4586" w:rsidR="006F1DBF" w:rsidRPr="006F1DBF" w:rsidRDefault="006F1DBF" w:rsidP="006F1DBF">
      <w:pPr>
        <w:spacing w:after="0" w:line="240" w:lineRule="auto"/>
        <w:textAlignment w:val="baseline"/>
        <w:rPr>
          <w:rFonts w:ascii="Segoe UI" w:eastAsia="Times New Roman" w:hAnsi="Segoe UI" w:cs="Segoe UI"/>
          <w:kern w:val="0"/>
          <w:sz w:val="18"/>
          <w:szCs w:val="18"/>
          <w:lang w:eastAsia="nl-NL"/>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990"/>
        <w:gridCol w:w="3540"/>
      </w:tblGrid>
      <w:tr w:rsidR="006F1DBF" w:rsidRPr="006F1DBF" w14:paraId="0E061331" w14:textId="77777777">
        <w:trPr>
          <w:trHeight w:val="270"/>
        </w:trPr>
        <w:tc>
          <w:tcPr>
            <w:tcW w:w="3675" w:type="dxa"/>
            <w:tcBorders>
              <w:top w:val="single" w:sz="6" w:space="0" w:color="000000"/>
              <w:left w:val="single" w:sz="6" w:space="0" w:color="000000"/>
              <w:bottom w:val="single" w:sz="6" w:space="0" w:color="000000"/>
              <w:right w:val="single" w:sz="6" w:space="0" w:color="000000"/>
            </w:tcBorders>
            <w:hideMark/>
          </w:tcPr>
          <w:p w14:paraId="37BFDEF6" w14:textId="77777777" w:rsidR="006F1DBF" w:rsidRPr="006F1DBF" w:rsidRDefault="006F1DBF" w:rsidP="006F1DBF">
            <w:pPr>
              <w:spacing w:after="0" w:line="240" w:lineRule="auto"/>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b/>
                <w:bCs/>
                <w:color w:val="000000"/>
                <w:kern w:val="0"/>
                <w:lang w:eastAsia="nl-NL"/>
                <w14:ligatures w14:val="none"/>
              </w:rPr>
              <w:t>Indicator 1 – De Brug</w:t>
            </w:r>
            <w:r w:rsidRPr="006F1DBF">
              <w:rPr>
                <w:rFonts w:ascii="Calibri" w:eastAsia="Times New Roman" w:hAnsi="Calibri" w:cs="Calibri"/>
                <w:color w:val="000000"/>
                <w:kern w:val="0"/>
                <w:lang w:eastAsia="nl-NL"/>
                <w14:ligatures w14:val="none"/>
              </w:rPr>
              <w:t> </w:t>
            </w:r>
          </w:p>
        </w:tc>
        <w:tc>
          <w:tcPr>
            <w:tcW w:w="990" w:type="dxa"/>
            <w:tcBorders>
              <w:top w:val="single" w:sz="6" w:space="0" w:color="000000"/>
              <w:left w:val="single" w:sz="6" w:space="0" w:color="000000"/>
              <w:bottom w:val="single" w:sz="6" w:space="0" w:color="000000"/>
              <w:right w:val="single" w:sz="6" w:space="0" w:color="000000"/>
            </w:tcBorders>
            <w:hideMark/>
          </w:tcPr>
          <w:p w14:paraId="56D959FC" w14:textId="77777777" w:rsidR="006F1DBF" w:rsidRPr="006F1DBF" w:rsidRDefault="006F1DBF" w:rsidP="006F1DBF">
            <w:pPr>
              <w:spacing w:after="0" w:line="240" w:lineRule="auto"/>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b/>
                <w:bCs/>
                <w:color w:val="000000"/>
                <w:kern w:val="0"/>
                <w:lang w:eastAsia="nl-NL"/>
                <w14:ligatures w14:val="none"/>
              </w:rPr>
              <w:t>Aantal</w:t>
            </w:r>
            <w:r w:rsidRPr="006F1DBF">
              <w:rPr>
                <w:rFonts w:ascii="Calibri" w:eastAsia="Times New Roman" w:hAnsi="Calibri" w:cs="Calibri"/>
                <w:color w:val="000000"/>
                <w:kern w:val="0"/>
                <w:lang w:eastAsia="nl-NL"/>
                <w14:ligatures w14:val="none"/>
              </w:rPr>
              <w:t> </w:t>
            </w:r>
          </w:p>
        </w:tc>
        <w:tc>
          <w:tcPr>
            <w:tcW w:w="3540" w:type="dxa"/>
            <w:tcBorders>
              <w:top w:val="single" w:sz="6" w:space="0" w:color="000000"/>
              <w:left w:val="single" w:sz="6" w:space="0" w:color="000000"/>
              <w:bottom w:val="single" w:sz="6" w:space="0" w:color="000000"/>
              <w:right w:val="single" w:sz="6" w:space="0" w:color="000000"/>
            </w:tcBorders>
            <w:hideMark/>
          </w:tcPr>
          <w:p w14:paraId="6B5DF17C" w14:textId="77777777" w:rsidR="006F1DBF" w:rsidRPr="006F1DBF" w:rsidRDefault="006F1DBF" w:rsidP="006F1DBF">
            <w:pPr>
              <w:spacing w:after="0" w:line="240" w:lineRule="auto"/>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b/>
                <w:bCs/>
                <w:color w:val="000000"/>
                <w:kern w:val="0"/>
                <w:lang w:eastAsia="nl-NL"/>
                <w14:ligatures w14:val="none"/>
              </w:rPr>
              <w:t>Percentage geldige metingen</w:t>
            </w:r>
            <w:r w:rsidRPr="006F1DBF">
              <w:rPr>
                <w:rFonts w:ascii="Calibri" w:eastAsia="Times New Roman" w:hAnsi="Calibri" w:cs="Calibri"/>
                <w:color w:val="000000"/>
                <w:kern w:val="0"/>
                <w:lang w:eastAsia="nl-NL"/>
                <w14:ligatures w14:val="none"/>
              </w:rPr>
              <w:t> </w:t>
            </w:r>
          </w:p>
        </w:tc>
      </w:tr>
      <w:tr w:rsidR="006F1DBF" w:rsidRPr="006F1DBF" w14:paraId="456D8C2F" w14:textId="77777777">
        <w:trPr>
          <w:trHeight w:val="270"/>
        </w:trPr>
        <w:tc>
          <w:tcPr>
            <w:tcW w:w="3675" w:type="dxa"/>
            <w:tcBorders>
              <w:top w:val="single" w:sz="6" w:space="0" w:color="000000"/>
              <w:left w:val="single" w:sz="6" w:space="0" w:color="000000"/>
              <w:bottom w:val="single" w:sz="6" w:space="0" w:color="000000"/>
              <w:right w:val="single" w:sz="6" w:space="0" w:color="000000"/>
            </w:tcBorders>
            <w:shd w:val="clear" w:color="auto" w:fill="F2F2F2"/>
            <w:hideMark/>
          </w:tcPr>
          <w:p w14:paraId="1A1AFD12" w14:textId="77777777" w:rsidR="006F1DBF" w:rsidRPr="006F1DBF" w:rsidRDefault="006F1DBF" w:rsidP="006F1DBF">
            <w:pPr>
              <w:spacing w:after="0" w:line="240" w:lineRule="auto"/>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color w:val="000000"/>
                <w:kern w:val="0"/>
                <w:lang w:eastAsia="nl-NL"/>
                <w14:ligatures w14:val="none"/>
              </w:rPr>
              <w:t>Ambulant - # cliënten in zorg 3mnd+ </w:t>
            </w:r>
          </w:p>
        </w:tc>
        <w:tc>
          <w:tcPr>
            <w:tcW w:w="990" w:type="dxa"/>
            <w:tcBorders>
              <w:top w:val="single" w:sz="6" w:space="0" w:color="000000"/>
              <w:left w:val="single" w:sz="6" w:space="0" w:color="000000"/>
              <w:bottom w:val="single" w:sz="6" w:space="0" w:color="000000"/>
              <w:right w:val="single" w:sz="6" w:space="0" w:color="000000"/>
            </w:tcBorders>
            <w:shd w:val="clear" w:color="auto" w:fill="F2F2F2"/>
            <w:hideMark/>
          </w:tcPr>
          <w:p w14:paraId="186B4CD8" w14:textId="77777777" w:rsidR="006F1DBF" w:rsidRPr="006F1DBF" w:rsidRDefault="006F1DBF" w:rsidP="006F1DBF">
            <w:pPr>
              <w:spacing w:after="0" w:line="240" w:lineRule="auto"/>
              <w:jc w:val="right"/>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kern w:val="0"/>
                <w:sz w:val="20"/>
                <w:szCs w:val="20"/>
                <w:lang w:eastAsia="nl-NL"/>
                <w14:ligatures w14:val="none"/>
              </w:rPr>
              <w:t>1 </w:t>
            </w:r>
          </w:p>
        </w:tc>
        <w:tc>
          <w:tcPr>
            <w:tcW w:w="3540" w:type="dxa"/>
            <w:tcBorders>
              <w:top w:val="single" w:sz="6" w:space="0" w:color="000000"/>
              <w:left w:val="single" w:sz="6" w:space="0" w:color="000000"/>
              <w:bottom w:val="single" w:sz="6" w:space="0" w:color="000000"/>
              <w:right w:val="single" w:sz="6" w:space="0" w:color="000000"/>
            </w:tcBorders>
            <w:shd w:val="clear" w:color="auto" w:fill="F2F2F2"/>
            <w:hideMark/>
          </w:tcPr>
          <w:p w14:paraId="676FC1E0" w14:textId="77777777" w:rsidR="006F1DBF" w:rsidRPr="006F1DBF" w:rsidRDefault="006F1DBF" w:rsidP="006F1DBF">
            <w:pPr>
              <w:spacing w:after="0" w:line="240" w:lineRule="auto"/>
              <w:jc w:val="right"/>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kern w:val="0"/>
                <w:sz w:val="20"/>
                <w:szCs w:val="20"/>
                <w:lang w:eastAsia="nl-NL"/>
                <w14:ligatures w14:val="none"/>
              </w:rPr>
              <w:t> </w:t>
            </w:r>
          </w:p>
        </w:tc>
      </w:tr>
      <w:tr w:rsidR="006F1DBF" w:rsidRPr="006F1DBF" w14:paraId="0A3B3B29" w14:textId="77777777">
        <w:trPr>
          <w:trHeight w:val="270"/>
        </w:trPr>
        <w:tc>
          <w:tcPr>
            <w:tcW w:w="3675" w:type="dxa"/>
            <w:tcBorders>
              <w:top w:val="single" w:sz="6" w:space="0" w:color="000000"/>
              <w:left w:val="single" w:sz="6" w:space="0" w:color="000000"/>
              <w:bottom w:val="single" w:sz="6" w:space="0" w:color="000000"/>
              <w:right w:val="single" w:sz="6" w:space="0" w:color="000000"/>
            </w:tcBorders>
            <w:hideMark/>
          </w:tcPr>
          <w:p w14:paraId="16A7D0CD" w14:textId="77777777" w:rsidR="006F1DBF" w:rsidRPr="006F1DBF" w:rsidRDefault="006F1DBF" w:rsidP="006F1DBF">
            <w:pPr>
              <w:spacing w:after="0" w:line="240" w:lineRule="auto"/>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color w:val="000000"/>
                <w:kern w:val="0"/>
                <w:lang w:eastAsia="nl-NL"/>
                <w14:ligatures w14:val="none"/>
              </w:rPr>
              <w:t>Ambulant - # FARE </w:t>
            </w:r>
          </w:p>
        </w:tc>
        <w:tc>
          <w:tcPr>
            <w:tcW w:w="990" w:type="dxa"/>
            <w:tcBorders>
              <w:top w:val="single" w:sz="6" w:space="0" w:color="000000"/>
              <w:left w:val="single" w:sz="6" w:space="0" w:color="000000"/>
              <w:bottom w:val="single" w:sz="6" w:space="0" w:color="000000"/>
              <w:right w:val="single" w:sz="6" w:space="0" w:color="000000"/>
            </w:tcBorders>
            <w:hideMark/>
          </w:tcPr>
          <w:p w14:paraId="3F020743" w14:textId="77777777" w:rsidR="006F1DBF" w:rsidRPr="006F1DBF" w:rsidRDefault="006F1DBF" w:rsidP="006F1DBF">
            <w:pPr>
              <w:spacing w:after="0" w:line="240" w:lineRule="auto"/>
              <w:jc w:val="right"/>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kern w:val="0"/>
                <w:sz w:val="20"/>
                <w:szCs w:val="20"/>
                <w:lang w:eastAsia="nl-NL"/>
                <w14:ligatures w14:val="none"/>
              </w:rPr>
              <w:t>1 </w:t>
            </w:r>
          </w:p>
        </w:tc>
        <w:tc>
          <w:tcPr>
            <w:tcW w:w="3540" w:type="dxa"/>
            <w:tcBorders>
              <w:top w:val="single" w:sz="6" w:space="0" w:color="000000"/>
              <w:left w:val="single" w:sz="6" w:space="0" w:color="000000"/>
              <w:bottom w:val="single" w:sz="6" w:space="0" w:color="000000"/>
              <w:right w:val="single" w:sz="6" w:space="0" w:color="000000"/>
            </w:tcBorders>
            <w:hideMark/>
          </w:tcPr>
          <w:p w14:paraId="4BDD776C" w14:textId="77777777" w:rsidR="006F1DBF" w:rsidRPr="006F1DBF" w:rsidRDefault="006F1DBF" w:rsidP="006F1DBF">
            <w:pPr>
              <w:spacing w:after="0" w:line="240" w:lineRule="auto"/>
              <w:jc w:val="right"/>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kern w:val="0"/>
                <w:sz w:val="20"/>
                <w:szCs w:val="20"/>
                <w:lang w:eastAsia="nl-NL"/>
                <w14:ligatures w14:val="none"/>
              </w:rPr>
              <w:t>100% </w:t>
            </w:r>
          </w:p>
        </w:tc>
      </w:tr>
    </w:tbl>
    <w:p w14:paraId="799DA76B" w14:textId="77777777" w:rsidR="006F1DBF" w:rsidRPr="006F1DBF" w:rsidRDefault="006F1DBF" w:rsidP="006F1DBF">
      <w:pPr>
        <w:rPr>
          <w:rFonts w:asciiTheme="minorHAnsi" w:hAnsiTheme="minorHAnsi" w:cstheme="minorHAnsi"/>
        </w:rPr>
      </w:pPr>
    </w:p>
    <w:p w14:paraId="330FD427" w14:textId="252D96C5" w:rsidR="006F1DBF" w:rsidRPr="006F1DBF" w:rsidRDefault="006F1DBF" w:rsidP="006F1DBF">
      <w:pPr>
        <w:rPr>
          <w:rFonts w:asciiTheme="minorHAnsi" w:hAnsiTheme="minorHAnsi" w:cstheme="minorHAnsi"/>
        </w:rPr>
      </w:pPr>
      <w:r w:rsidRPr="006F1DBF">
        <w:rPr>
          <w:rFonts w:asciiTheme="minorHAnsi" w:hAnsiTheme="minorHAnsi" w:cstheme="minorHAnsi"/>
        </w:rPr>
        <w:t>Voor deze indicator is een percentage van 70% in de klinische setting en 65% voor de ambulante setting de norm, zoals deze gehanteerd wordt door </w:t>
      </w:r>
      <w:proofErr w:type="spellStart"/>
      <w:r w:rsidRPr="006F1DBF">
        <w:rPr>
          <w:rFonts w:asciiTheme="minorHAnsi" w:hAnsiTheme="minorHAnsi" w:cstheme="minorHAnsi"/>
        </w:rPr>
        <w:t>ForZo</w:t>
      </w:r>
      <w:proofErr w:type="spellEnd"/>
      <w:r w:rsidRPr="006F1DBF">
        <w:rPr>
          <w:rFonts w:asciiTheme="minorHAnsi" w:hAnsiTheme="minorHAnsi" w:cstheme="minorHAnsi"/>
        </w:rPr>
        <w:t>/JJI. Met een score van 100% in de klinische setting wordt de normering ruimschoots gehaald en voor de ambulante cliënt bij De Brug is een geldige FARE aanwezig. Voor ambulant scoren we bij De Hoop in 2025 onder de norm. Ambulante trajecten in de forensische zorg duren regelmatig net wat langer dan een half jaar. De FARE wordt dan in de beginfase van de behandeling afgenomen en de resultaten worden verwerkt in het behandelplan. Wanneer het einde van een traject in zicht komt wordt niet altijd opnieuw het volledige instrument ingevuld. Zoals beschreven onder 4.1 is het uitvoeren van risicotaxaties en gebruiken van de uitkomsten in de behandeling in de komende jaren een aandachtspunt in de verbetering van de forensische zorg. </w:t>
      </w:r>
    </w:p>
    <w:p w14:paraId="2A77596D" w14:textId="01AE83CD" w:rsidR="006F1DBF" w:rsidRPr="006F1DBF" w:rsidRDefault="006F1DBF" w:rsidP="006F1DBF">
      <w:pPr>
        <w:rPr>
          <w:rFonts w:asciiTheme="minorHAnsi" w:hAnsiTheme="minorHAnsi" w:cstheme="minorHAnsi"/>
        </w:rPr>
      </w:pPr>
      <w:r w:rsidRPr="006F1DBF">
        <w:rPr>
          <w:rFonts w:asciiTheme="minorHAnsi" w:hAnsiTheme="minorHAnsi" w:cstheme="minorHAnsi"/>
          <w:b/>
          <w:bCs/>
        </w:rPr>
        <w:t>4.5.2 Indicator 2: Geïndiceerde vervolgzorg in de settingen klinisch, ambulant en beschermd wonen</w:t>
      </w:r>
      <w:r w:rsidRPr="006F1DBF">
        <w:rPr>
          <w:rFonts w:asciiTheme="minorHAnsi" w:hAnsiTheme="minorHAnsi" w:cstheme="minorHAnsi"/>
        </w:rPr>
        <w:t> </w:t>
      </w:r>
      <w:r>
        <w:rPr>
          <w:rFonts w:asciiTheme="minorHAnsi" w:hAnsiTheme="minorHAnsi" w:cstheme="minorHAnsi"/>
        </w:rPr>
        <w:br/>
      </w:r>
      <w:r w:rsidRPr="006F1DBF">
        <w:rPr>
          <w:rFonts w:asciiTheme="minorHAnsi" w:hAnsiTheme="minorHAnsi" w:cstheme="minorHAnsi"/>
        </w:rPr>
        <w:t>Indicator 2 brengt de gewenste vervolgzorg voor de patiënt in kaart ten behoeve van de continuïteit van zorg. Onder continuïteit wordt begrepen een vloeiende overgang van forensische zorg in het kader van een forensische zorgtitel, naar zorg waarbij de forensische zorgtitel is geëindigd. Deze overgang kan zowel plaatsvinden bij de zorgaanbieder zelf als bij een andere zorgaanbieder. Door te registreren waar de vervolgzorg zou moeten plaatsvinden, worden de knelpunten in de continuïteit van zorg beter zichtbaar. </w:t>
      </w:r>
    </w:p>
    <w:p w14:paraId="3FAE71EE" w14:textId="77777777" w:rsidR="006F1DBF" w:rsidRPr="006F1DBF" w:rsidRDefault="006F1DBF" w:rsidP="006F1DBF">
      <w:pPr>
        <w:rPr>
          <w:rFonts w:asciiTheme="minorHAnsi" w:hAnsiTheme="minorHAnsi" w:cstheme="minorHAnsi"/>
        </w:rPr>
      </w:pPr>
      <w:r w:rsidRPr="006F1DBF">
        <w:rPr>
          <w:rFonts w:asciiTheme="minorHAnsi" w:hAnsiTheme="minorHAnsi" w:cstheme="minorHAnsi"/>
        </w:rPr>
        <w:t xml:space="preserve">De indicator meet de wenselijk geachte vervolgzorg en niet de daadwerkelijk gerealiseerde vervolgzorg, omdat dit mede afhankelijk is van externe factoren. In de onderstaande tabellen is voor de cliënten bij wie de forensische zorgtitel is geëindigd in de periode 1 januari 2025 t/m 31 december 2025 aangegeven hoe vaak een bepaalde categorie vervolgzorg is geïndiceerd. In deze periode is bij </w:t>
      </w:r>
      <w:r w:rsidRPr="006F1DBF">
        <w:rPr>
          <w:rFonts w:asciiTheme="minorHAnsi" w:hAnsiTheme="minorHAnsi" w:cstheme="minorHAnsi"/>
        </w:rPr>
        <w:lastRenderedPageBreak/>
        <w:t>De Hoop voor 33 cliënten de forensische zorgtitel geëindigd. Bij De Brug is in deze periode voor 10 cliënten de forensische zorgtitel geëindigd. Soms worden meerdere categorieën vervolgzorg geïndiceerd, waardoor het totaal van de rechterkolommen hoger uitvalt dan het totaal aantal cliënten.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0"/>
        <w:gridCol w:w="1970"/>
        <w:gridCol w:w="1876"/>
      </w:tblGrid>
      <w:tr w:rsidR="006F1DBF" w:rsidRPr="006F1DBF" w14:paraId="5EE13CB6" w14:textId="77777777">
        <w:trPr>
          <w:trHeight w:val="300"/>
        </w:trPr>
        <w:tc>
          <w:tcPr>
            <w:tcW w:w="5550" w:type="dxa"/>
            <w:tcBorders>
              <w:top w:val="single" w:sz="6" w:space="0" w:color="auto"/>
              <w:left w:val="single" w:sz="6" w:space="0" w:color="auto"/>
              <w:bottom w:val="single" w:sz="6" w:space="0" w:color="auto"/>
              <w:right w:val="single" w:sz="6" w:space="0" w:color="auto"/>
            </w:tcBorders>
            <w:hideMark/>
          </w:tcPr>
          <w:p w14:paraId="0CD54D8A" w14:textId="77777777" w:rsidR="006F1DBF" w:rsidRPr="006F1DBF" w:rsidRDefault="006F1DBF" w:rsidP="006F1DBF">
            <w:pPr>
              <w:spacing w:after="0" w:line="240" w:lineRule="auto"/>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b/>
                <w:bCs/>
                <w:kern w:val="0"/>
                <w:sz w:val="20"/>
                <w:szCs w:val="20"/>
                <w:lang w:eastAsia="nl-NL"/>
                <w14:ligatures w14:val="none"/>
              </w:rPr>
              <w:t>Categorieën voor vervolgzorg </w:t>
            </w:r>
            <w:r w:rsidRPr="006F1DBF">
              <w:rPr>
                <w:rFonts w:ascii="Calibri" w:eastAsia="Times New Roman" w:hAnsi="Calibri" w:cs="Calibri"/>
                <w:kern w:val="0"/>
                <w:sz w:val="20"/>
                <w:szCs w:val="20"/>
                <w:lang w:eastAsia="nl-NL"/>
                <w14:ligatures w14:val="none"/>
              </w:rPr>
              <w:t> </w:t>
            </w:r>
          </w:p>
        </w:tc>
        <w:tc>
          <w:tcPr>
            <w:tcW w:w="2085" w:type="dxa"/>
            <w:tcBorders>
              <w:top w:val="single" w:sz="6" w:space="0" w:color="auto"/>
              <w:left w:val="single" w:sz="6" w:space="0" w:color="auto"/>
              <w:bottom w:val="single" w:sz="6" w:space="0" w:color="auto"/>
              <w:right w:val="single" w:sz="6" w:space="0" w:color="auto"/>
            </w:tcBorders>
            <w:hideMark/>
          </w:tcPr>
          <w:p w14:paraId="6E0C6E3D" w14:textId="77777777" w:rsidR="006F1DBF" w:rsidRPr="006F1DBF" w:rsidRDefault="006F1DBF" w:rsidP="006F1DBF">
            <w:pPr>
              <w:spacing w:after="0" w:line="240" w:lineRule="auto"/>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b/>
                <w:bCs/>
                <w:kern w:val="0"/>
                <w:sz w:val="20"/>
                <w:szCs w:val="20"/>
                <w:lang w:eastAsia="nl-NL"/>
                <w14:ligatures w14:val="none"/>
              </w:rPr>
              <w:t>Aantal keer geïndiceerd De Hoop</w:t>
            </w:r>
            <w:r w:rsidRPr="006F1DBF">
              <w:rPr>
                <w:rFonts w:ascii="Calibri" w:eastAsia="Times New Roman" w:hAnsi="Calibri" w:cs="Calibri"/>
                <w:kern w:val="0"/>
                <w:sz w:val="20"/>
                <w:szCs w:val="20"/>
                <w:lang w:eastAsia="nl-NL"/>
                <w14:ligatures w14:val="none"/>
              </w:rPr>
              <w:t> </w:t>
            </w:r>
          </w:p>
        </w:tc>
        <w:tc>
          <w:tcPr>
            <w:tcW w:w="1980" w:type="dxa"/>
            <w:tcBorders>
              <w:top w:val="single" w:sz="6" w:space="0" w:color="auto"/>
              <w:left w:val="single" w:sz="6" w:space="0" w:color="auto"/>
              <w:bottom w:val="single" w:sz="6" w:space="0" w:color="auto"/>
              <w:right w:val="single" w:sz="6" w:space="0" w:color="auto"/>
            </w:tcBorders>
            <w:hideMark/>
          </w:tcPr>
          <w:p w14:paraId="6DEE0275" w14:textId="77777777" w:rsidR="006F1DBF" w:rsidRPr="006F1DBF" w:rsidRDefault="006F1DBF" w:rsidP="006F1DBF">
            <w:pPr>
              <w:spacing w:after="0" w:line="240" w:lineRule="auto"/>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b/>
                <w:bCs/>
                <w:kern w:val="0"/>
                <w:sz w:val="20"/>
                <w:szCs w:val="20"/>
                <w:lang w:eastAsia="nl-NL"/>
                <w14:ligatures w14:val="none"/>
              </w:rPr>
              <w:t>Aantal keer geïndiceerd De Brug</w:t>
            </w:r>
            <w:r w:rsidRPr="006F1DBF">
              <w:rPr>
                <w:rFonts w:ascii="Calibri" w:eastAsia="Times New Roman" w:hAnsi="Calibri" w:cs="Calibri"/>
                <w:kern w:val="0"/>
                <w:sz w:val="20"/>
                <w:szCs w:val="20"/>
                <w:lang w:eastAsia="nl-NL"/>
                <w14:ligatures w14:val="none"/>
              </w:rPr>
              <w:t> </w:t>
            </w:r>
          </w:p>
        </w:tc>
      </w:tr>
      <w:tr w:rsidR="006F1DBF" w:rsidRPr="006F1DBF" w14:paraId="1586C15A" w14:textId="77777777">
        <w:trPr>
          <w:trHeight w:val="300"/>
        </w:trPr>
        <w:tc>
          <w:tcPr>
            <w:tcW w:w="5550" w:type="dxa"/>
            <w:tcBorders>
              <w:top w:val="single" w:sz="6" w:space="0" w:color="auto"/>
              <w:left w:val="single" w:sz="6" w:space="0" w:color="auto"/>
              <w:bottom w:val="single" w:sz="6" w:space="0" w:color="auto"/>
              <w:right w:val="single" w:sz="6" w:space="0" w:color="auto"/>
            </w:tcBorders>
            <w:hideMark/>
          </w:tcPr>
          <w:p w14:paraId="01E2F5DA" w14:textId="2C0E2979" w:rsidR="006F1DBF" w:rsidRPr="006F1DBF" w:rsidRDefault="006F1DBF">
            <w:pPr>
              <w:pStyle w:val="Lijstalinea"/>
              <w:numPr>
                <w:ilvl w:val="0"/>
                <w:numId w:val="3"/>
              </w:numPr>
              <w:spacing w:after="0" w:line="240" w:lineRule="auto"/>
              <w:textAlignment w:val="baseline"/>
              <w:rPr>
                <w:rFonts w:ascii="Calibri" w:eastAsia="Times New Roman" w:hAnsi="Calibri" w:cs="Calibri"/>
                <w:kern w:val="0"/>
                <w:lang w:eastAsia="nl-NL"/>
                <w14:ligatures w14:val="none"/>
              </w:rPr>
            </w:pPr>
            <w:r w:rsidRPr="006F1DBF">
              <w:rPr>
                <w:rFonts w:ascii="Calibri" w:eastAsia="Times New Roman" w:hAnsi="Calibri" w:cs="Calibri"/>
                <w:kern w:val="0"/>
                <w:lang w:eastAsia="nl-NL"/>
                <w14:ligatures w14:val="none"/>
              </w:rPr>
              <w:t>Forensische klinische zorg: </w:t>
            </w:r>
          </w:p>
          <w:p w14:paraId="7AFE569A" w14:textId="77777777" w:rsidR="006F1DBF" w:rsidRPr="006F1DBF" w:rsidRDefault="006F1DBF" w:rsidP="006F1DBF">
            <w:pPr>
              <w:spacing w:after="0" w:line="240" w:lineRule="auto"/>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kern w:val="0"/>
                <w:lang w:eastAsia="nl-NL"/>
                <w14:ligatures w14:val="none"/>
              </w:rPr>
              <w:t>            1. Beveiligingsniveau 3: FPK/FVK </w:t>
            </w:r>
          </w:p>
          <w:p w14:paraId="0A4D4AD0" w14:textId="77777777" w:rsidR="006F1DBF" w:rsidRPr="006F1DBF" w:rsidRDefault="006F1DBF" w:rsidP="006F1DBF">
            <w:pPr>
              <w:spacing w:after="0" w:line="240" w:lineRule="auto"/>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kern w:val="0"/>
                <w:lang w:eastAsia="nl-NL"/>
                <w14:ligatures w14:val="none"/>
              </w:rPr>
              <w:t>            2. Beveiligingsniveau 2: FPA/FVA </w:t>
            </w:r>
          </w:p>
          <w:p w14:paraId="523BB127" w14:textId="77777777" w:rsidR="006F1DBF" w:rsidRPr="006F1DBF" w:rsidRDefault="006F1DBF" w:rsidP="006F1DBF">
            <w:pPr>
              <w:spacing w:after="0" w:line="240" w:lineRule="auto"/>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kern w:val="0"/>
                <w:lang w:eastAsia="nl-NL"/>
                <w14:ligatures w14:val="none"/>
              </w:rPr>
              <w:t>            3. Beveiligingsniveau 1 </w:t>
            </w:r>
          </w:p>
        </w:tc>
        <w:tc>
          <w:tcPr>
            <w:tcW w:w="2085" w:type="dxa"/>
            <w:tcBorders>
              <w:top w:val="single" w:sz="6" w:space="0" w:color="auto"/>
              <w:left w:val="single" w:sz="6" w:space="0" w:color="auto"/>
              <w:bottom w:val="single" w:sz="6" w:space="0" w:color="auto"/>
              <w:right w:val="single" w:sz="6" w:space="0" w:color="auto"/>
            </w:tcBorders>
            <w:hideMark/>
          </w:tcPr>
          <w:p w14:paraId="570809B8" w14:textId="77777777" w:rsidR="006F1DBF" w:rsidRPr="006F1DBF" w:rsidRDefault="006F1DBF" w:rsidP="006F1DBF">
            <w:pPr>
              <w:spacing w:after="0" w:line="240" w:lineRule="auto"/>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kern w:val="0"/>
                <w:lang w:eastAsia="nl-NL"/>
                <w14:ligatures w14:val="none"/>
              </w:rPr>
              <w:t> </w:t>
            </w:r>
          </w:p>
          <w:p w14:paraId="6A69CEE7" w14:textId="77777777" w:rsidR="006F1DBF" w:rsidRPr="006F1DBF" w:rsidRDefault="006F1DBF" w:rsidP="006F1DBF">
            <w:pPr>
              <w:spacing w:after="0" w:line="240" w:lineRule="auto"/>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kern w:val="0"/>
                <w:lang w:eastAsia="nl-NL"/>
                <w14:ligatures w14:val="none"/>
              </w:rPr>
              <w:t> </w:t>
            </w:r>
          </w:p>
          <w:p w14:paraId="783365CE" w14:textId="2C4D6C76" w:rsidR="006F1DBF" w:rsidRPr="006F1DBF" w:rsidRDefault="006F1DBF" w:rsidP="006F1DBF">
            <w:pPr>
              <w:spacing w:after="0" w:line="240" w:lineRule="auto"/>
              <w:textAlignment w:val="baseline"/>
              <w:rPr>
                <w:rFonts w:ascii="Segoe UI" w:eastAsia="Times New Roman" w:hAnsi="Segoe UI" w:cs="Segoe UI"/>
                <w:kern w:val="0"/>
                <w:sz w:val="18"/>
                <w:szCs w:val="18"/>
                <w:lang w:eastAsia="nl-NL"/>
                <w14:ligatures w14:val="none"/>
              </w:rPr>
            </w:pPr>
            <w:r>
              <w:rPr>
                <w:rFonts w:ascii="Calibri" w:eastAsia="Times New Roman" w:hAnsi="Calibri" w:cs="Calibri"/>
                <w:kern w:val="0"/>
                <w:lang w:eastAsia="nl-NL"/>
                <w14:ligatures w14:val="none"/>
              </w:rPr>
              <w:t xml:space="preserve">       </w:t>
            </w:r>
            <w:r w:rsidRPr="006F1DBF">
              <w:rPr>
                <w:rFonts w:ascii="Calibri" w:eastAsia="Times New Roman" w:hAnsi="Calibri" w:cs="Calibri"/>
                <w:kern w:val="0"/>
                <w:lang w:eastAsia="nl-NL"/>
                <w14:ligatures w14:val="none"/>
              </w:rPr>
              <w:t>2</w:t>
            </w:r>
          </w:p>
          <w:p w14:paraId="66D593A2" w14:textId="32052D62" w:rsidR="006F1DBF" w:rsidRPr="006F1DBF" w:rsidRDefault="006F1DBF" w:rsidP="006F1DBF">
            <w:pPr>
              <w:spacing w:after="0" w:line="240" w:lineRule="auto"/>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kern w:val="0"/>
                <w:lang w:eastAsia="nl-NL"/>
                <w14:ligatures w14:val="none"/>
              </w:rPr>
              <w:t xml:space="preserve">       2</w:t>
            </w:r>
            <w:r>
              <w:rPr>
                <w:rFonts w:ascii="Segoe UI" w:eastAsia="Times New Roman" w:hAnsi="Segoe UI" w:cs="Segoe UI"/>
                <w:kern w:val="0"/>
                <w:sz w:val="18"/>
                <w:szCs w:val="18"/>
                <w:lang w:eastAsia="nl-NL"/>
                <w14:ligatures w14:val="none"/>
              </w:rPr>
              <w:t xml:space="preserve"> </w:t>
            </w:r>
          </w:p>
        </w:tc>
        <w:tc>
          <w:tcPr>
            <w:tcW w:w="1980" w:type="dxa"/>
            <w:tcBorders>
              <w:top w:val="single" w:sz="6" w:space="0" w:color="auto"/>
              <w:left w:val="single" w:sz="6" w:space="0" w:color="auto"/>
              <w:bottom w:val="single" w:sz="6" w:space="0" w:color="auto"/>
              <w:right w:val="single" w:sz="6" w:space="0" w:color="auto"/>
            </w:tcBorders>
            <w:hideMark/>
          </w:tcPr>
          <w:p w14:paraId="2A8D9B2C" w14:textId="77777777" w:rsidR="006F1DBF" w:rsidRPr="006F1DBF" w:rsidRDefault="006F1DBF" w:rsidP="006F1DBF">
            <w:pPr>
              <w:spacing w:after="0" w:line="240" w:lineRule="auto"/>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kern w:val="0"/>
                <w:lang w:eastAsia="nl-NL"/>
                <w14:ligatures w14:val="none"/>
              </w:rPr>
              <w:t> </w:t>
            </w:r>
          </w:p>
        </w:tc>
      </w:tr>
      <w:tr w:rsidR="006F1DBF" w:rsidRPr="006F1DBF" w14:paraId="6532838A" w14:textId="77777777">
        <w:trPr>
          <w:trHeight w:val="300"/>
        </w:trPr>
        <w:tc>
          <w:tcPr>
            <w:tcW w:w="5550" w:type="dxa"/>
            <w:tcBorders>
              <w:top w:val="single" w:sz="6" w:space="0" w:color="auto"/>
              <w:left w:val="single" w:sz="6" w:space="0" w:color="auto"/>
              <w:bottom w:val="single" w:sz="6" w:space="0" w:color="auto"/>
              <w:right w:val="single" w:sz="6" w:space="0" w:color="auto"/>
            </w:tcBorders>
            <w:hideMark/>
          </w:tcPr>
          <w:p w14:paraId="6DB44F6B" w14:textId="14F9E29B" w:rsidR="006F1DBF" w:rsidRPr="006F1DBF" w:rsidRDefault="006F1DBF">
            <w:pPr>
              <w:pStyle w:val="Lijstalinea"/>
              <w:numPr>
                <w:ilvl w:val="0"/>
                <w:numId w:val="3"/>
              </w:numPr>
              <w:spacing w:after="0" w:line="240" w:lineRule="auto"/>
              <w:textAlignment w:val="baseline"/>
              <w:rPr>
                <w:rFonts w:ascii="Calibri" w:eastAsia="Times New Roman" w:hAnsi="Calibri" w:cs="Calibri"/>
                <w:kern w:val="0"/>
                <w:lang w:eastAsia="nl-NL"/>
                <w14:ligatures w14:val="none"/>
              </w:rPr>
            </w:pPr>
            <w:r w:rsidRPr="006F1DBF">
              <w:rPr>
                <w:rFonts w:ascii="Calibri" w:eastAsia="Times New Roman" w:hAnsi="Calibri" w:cs="Calibri"/>
                <w:kern w:val="0"/>
                <w:lang w:eastAsia="nl-NL"/>
                <w14:ligatures w14:val="none"/>
              </w:rPr>
              <w:t>Forensische ambulante behandeling (waaronder alle vormen van FACT) </w:t>
            </w:r>
          </w:p>
        </w:tc>
        <w:tc>
          <w:tcPr>
            <w:tcW w:w="2085" w:type="dxa"/>
            <w:tcBorders>
              <w:top w:val="single" w:sz="6" w:space="0" w:color="auto"/>
              <w:left w:val="single" w:sz="6" w:space="0" w:color="auto"/>
              <w:bottom w:val="single" w:sz="6" w:space="0" w:color="auto"/>
              <w:right w:val="single" w:sz="6" w:space="0" w:color="auto"/>
            </w:tcBorders>
            <w:hideMark/>
          </w:tcPr>
          <w:p w14:paraId="39579EC7" w14:textId="30CAA67C" w:rsidR="006F1DBF" w:rsidRPr="006F1DBF" w:rsidRDefault="006F1DBF">
            <w:pPr>
              <w:pStyle w:val="Lijstalinea"/>
              <w:numPr>
                <w:ilvl w:val="0"/>
                <w:numId w:val="4"/>
              </w:numPr>
              <w:spacing w:after="0" w:line="240" w:lineRule="auto"/>
              <w:textAlignment w:val="baseline"/>
              <w:rPr>
                <w:rFonts w:ascii="Segoe UI" w:eastAsia="Times New Roman" w:hAnsi="Segoe UI" w:cs="Segoe UI"/>
                <w:kern w:val="0"/>
                <w:sz w:val="18"/>
                <w:szCs w:val="18"/>
                <w:lang w:eastAsia="nl-NL"/>
                <w14:ligatures w14:val="none"/>
              </w:rPr>
            </w:pPr>
          </w:p>
        </w:tc>
        <w:tc>
          <w:tcPr>
            <w:tcW w:w="1980" w:type="dxa"/>
            <w:tcBorders>
              <w:top w:val="single" w:sz="6" w:space="0" w:color="auto"/>
              <w:left w:val="single" w:sz="6" w:space="0" w:color="auto"/>
              <w:bottom w:val="single" w:sz="6" w:space="0" w:color="auto"/>
              <w:right w:val="single" w:sz="6" w:space="0" w:color="auto"/>
            </w:tcBorders>
            <w:hideMark/>
          </w:tcPr>
          <w:p w14:paraId="71730923" w14:textId="77777777" w:rsidR="006F1DBF" w:rsidRPr="006F1DBF" w:rsidRDefault="006F1DBF" w:rsidP="006F1DBF">
            <w:pPr>
              <w:spacing w:after="0" w:line="240" w:lineRule="auto"/>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kern w:val="0"/>
                <w:lang w:eastAsia="nl-NL"/>
                <w14:ligatures w14:val="none"/>
              </w:rPr>
              <w:t> </w:t>
            </w:r>
          </w:p>
        </w:tc>
      </w:tr>
      <w:tr w:rsidR="006F1DBF" w:rsidRPr="006F1DBF" w14:paraId="71F9FA30" w14:textId="77777777">
        <w:trPr>
          <w:trHeight w:val="300"/>
        </w:trPr>
        <w:tc>
          <w:tcPr>
            <w:tcW w:w="5550" w:type="dxa"/>
            <w:tcBorders>
              <w:top w:val="single" w:sz="6" w:space="0" w:color="auto"/>
              <w:left w:val="single" w:sz="6" w:space="0" w:color="auto"/>
              <w:bottom w:val="single" w:sz="6" w:space="0" w:color="auto"/>
              <w:right w:val="single" w:sz="6" w:space="0" w:color="auto"/>
            </w:tcBorders>
            <w:hideMark/>
          </w:tcPr>
          <w:p w14:paraId="5DED40D7" w14:textId="777DDDD7" w:rsidR="006F1DBF" w:rsidRPr="006F1DBF" w:rsidRDefault="006F1DBF">
            <w:pPr>
              <w:pStyle w:val="Lijstalinea"/>
              <w:numPr>
                <w:ilvl w:val="0"/>
                <w:numId w:val="3"/>
              </w:numPr>
              <w:spacing w:after="0" w:line="240" w:lineRule="auto"/>
              <w:textAlignment w:val="baseline"/>
              <w:rPr>
                <w:rFonts w:ascii="Calibri" w:eastAsia="Times New Roman" w:hAnsi="Calibri" w:cs="Calibri"/>
                <w:kern w:val="0"/>
                <w:lang w:eastAsia="nl-NL"/>
                <w14:ligatures w14:val="none"/>
              </w:rPr>
            </w:pPr>
            <w:r w:rsidRPr="006F1DBF">
              <w:rPr>
                <w:rFonts w:ascii="Calibri" w:eastAsia="Times New Roman" w:hAnsi="Calibri" w:cs="Calibri"/>
                <w:kern w:val="0"/>
                <w:lang w:eastAsia="nl-NL"/>
                <w14:ligatures w14:val="none"/>
              </w:rPr>
              <w:t>Specialistische GGZ </w:t>
            </w:r>
          </w:p>
        </w:tc>
        <w:tc>
          <w:tcPr>
            <w:tcW w:w="2085" w:type="dxa"/>
            <w:tcBorders>
              <w:top w:val="single" w:sz="6" w:space="0" w:color="auto"/>
              <w:left w:val="single" w:sz="6" w:space="0" w:color="auto"/>
              <w:bottom w:val="single" w:sz="6" w:space="0" w:color="auto"/>
              <w:right w:val="single" w:sz="6" w:space="0" w:color="auto"/>
            </w:tcBorders>
            <w:hideMark/>
          </w:tcPr>
          <w:p w14:paraId="71DD4DAC" w14:textId="09144244" w:rsidR="006F1DBF" w:rsidRPr="006F1DBF" w:rsidRDefault="006F1DBF">
            <w:pPr>
              <w:pStyle w:val="Lijstalinea"/>
              <w:numPr>
                <w:ilvl w:val="0"/>
                <w:numId w:val="5"/>
              </w:numPr>
              <w:spacing w:after="0" w:line="240" w:lineRule="auto"/>
              <w:textAlignment w:val="baseline"/>
              <w:rPr>
                <w:rFonts w:ascii="Segoe UI" w:eastAsia="Times New Roman" w:hAnsi="Segoe UI" w:cs="Segoe UI"/>
                <w:kern w:val="0"/>
                <w:sz w:val="18"/>
                <w:szCs w:val="18"/>
                <w:lang w:eastAsia="nl-NL"/>
                <w14:ligatures w14:val="none"/>
              </w:rPr>
            </w:pPr>
          </w:p>
        </w:tc>
        <w:tc>
          <w:tcPr>
            <w:tcW w:w="1980" w:type="dxa"/>
            <w:tcBorders>
              <w:top w:val="single" w:sz="6" w:space="0" w:color="auto"/>
              <w:left w:val="single" w:sz="6" w:space="0" w:color="auto"/>
              <w:bottom w:val="single" w:sz="6" w:space="0" w:color="auto"/>
              <w:right w:val="single" w:sz="6" w:space="0" w:color="auto"/>
            </w:tcBorders>
            <w:hideMark/>
          </w:tcPr>
          <w:p w14:paraId="51F9A9F5" w14:textId="77777777" w:rsidR="006F1DBF" w:rsidRPr="006F1DBF" w:rsidRDefault="006F1DBF" w:rsidP="006F1DBF">
            <w:pPr>
              <w:spacing w:after="0" w:line="240" w:lineRule="auto"/>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kern w:val="0"/>
                <w:lang w:eastAsia="nl-NL"/>
                <w14:ligatures w14:val="none"/>
              </w:rPr>
              <w:t>1 </w:t>
            </w:r>
          </w:p>
        </w:tc>
      </w:tr>
      <w:tr w:rsidR="006F1DBF" w:rsidRPr="006F1DBF" w14:paraId="26C0B798" w14:textId="77777777">
        <w:trPr>
          <w:trHeight w:val="300"/>
        </w:trPr>
        <w:tc>
          <w:tcPr>
            <w:tcW w:w="5550" w:type="dxa"/>
            <w:tcBorders>
              <w:top w:val="single" w:sz="6" w:space="0" w:color="auto"/>
              <w:left w:val="single" w:sz="6" w:space="0" w:color="auto"/>
              <w:bottom w:val="single" w:sz="6" w:space="0" w:color="auto"/>
              <w:right w:val="single" w:sz="6" w:space="0" w:color="auto"/>
            </w:tcBorders>
            <w:hideMark/>
          </w:tcPr>
          <w:p w14:paraId="1DFFE9A4" w14:textId="25EB2805" w:rsidR="006F1DBF" w:rsidRPr="006F1DBF" w:rsidRDefault="006F1DBF">
            <w:pPr>
              <w:pStyle w:val="Lijstalinea"/>
              <w:numPr>
                <w:ilvl w:val="0"/>
                <w:numId w:val="3"/>
              </w:numPr>
              <w:spacing w:after="0" w:line="240" w:lineRule="auto"/>
              <w:textAlignment w:val="baseline"/>
              <w:rPr>
                <w:rFonts w:ascii="Calibri" w:eastAsia="Times New Roman" w:hAnsi="Calibri" w:cs="Calibri"/>
                <w:kern w:val="0"/>
                <w:lang w:eastAsia="nl-NL"/>
                <w14:ligatures w14:val="none"/>
              </w:rPr>
            </w:pPr>
            <w:r w:rsidRPr="006F1DBF">
              <w:rPr>
                <w:rFonts w:ascii="Calibri" w:eastAsia="Times New Roman" w:hAnsi="Calibri" w:cs="Calibri"/>
                <w:kern w:val="0"/>
                <w:lang w:eastAsia="nl-NL"/>
                <w14:ligatures w14:val="none"/>
              </w:rPr>
              <w:t>Basis GGZ </w:t>
            </w:r>
          </w:p>
        </w:tc>
        <w:tc>
          <w:tcPr>
            <w:tcW w:w="2085" w:type="dxa"/>
            <w:tcBorders>
              <w:top w:val="single" w:sz="6" w:space="0" w:color="auto"/>
              <w:left w:val="single" w:sz="6" w:space="0" w:color="auto"/>
              <w:bottom w:val="single" w:sz="6" w:space="0" w:color="auto"/>
              <w:right w:val="single" w:sz="6" w:space="0" w:color="auto"/>
            </w:tcBorders>
            <w:hideMark/>
          </w:tcPr>
          <w:p w14:paraId="7DB3091F" w14:textId="77777777" w:rsidR="006F1DBF" w:rsidRPr="006F1DBF" w:rsidRDefault="006F1DBF" w:rsidP="006F1DBF">
            <w:pPr>
              <w:spacing w:after="0" w:line="240" w:lineRule="auto"/>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kern w:val="0"/>
                <w:lang w:eastAsia="nl-NL"/>
                <w14:ligatures w14:val="none"/>
              </w:rPr>
              <w:t> </w:t>
            </w:r>
          </w:p>
        </w:tc>
        <w:tc>
          <w:tcPr>
            <w:tcW w:w="1980" w:type="dxa"/>
            <w:tcBorders>
              <w:top w:val="single" w:sz="6" w:space="0" w:color="auto"/>
              <w:left w:val="single" w:sz="6" w:space="0" w:color="auto"/>
              <w:bottom w:val="single" w:sz="6" w:space="0" w:color="auto"/>
              <w:right w:val="single" w:sz="6" w:space="0" w:color="auto"/>
            </w:tcBorders>
            <w:hideMark/>
          </w:tcPr>
          <w:p w14:paraId="5871F494" w14:textId="77777777" w:rsidR="006F1DBF" w:rsidRPr="006F1DBF" w:rsidRDefault="006F1DBF" w:rsidP="006F1DBF">
            <w:pPr>
              <w:spacing w:after="0" w:line="240" w:lineRule="auto"/>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kern w:val="0"/>
                <w:lang w:eastAsia="nl-NL"/>
                <w14:ligatures w14:val="none"/>
              </w:rPr>
              <w:t> </w:t>
            </w:r>
          </w:p>
        </w:tc>
      </w:tr>
      <w:tr w:rsidR="006F1DBF" w:rsidRPr="006F1DBF" w14:paraId="1890D319" w14:textId="77777777">
        <w:trPr>
          <w:trHeight w:val="300"/>
        </w:trPr>
        <w:tc>
          <w:tcPr>
            <w:tcW w:w="5550" w:type="dxa"/>
            <w:tcBorders>
              <w:top w:val="single" w:sz="6" w:space="0" w:color="auto"/>
              <w:left w:val="single" w:sz="6" w:space="0" w:color="auto"/>
              <w:bottom w:val="single" w:sz="6" w:space="0" w:color="auto"/>
              <w:right w:val="single" w:sz="6" w:space="0" w:color="auto"/>
            </w:tcBorders>
            <w:hideMark/>
          </w:tcPr>
          <w:p w14:paraId="4A50164A" w14:textId="0899FE69" w:rsidR="006F1DBF" w:rsidRPr="006F1DBF" w:rsidRDefault="006F1DBF">
            <w:pPr>
              <w:pStyle w:val="Lijstalinea"/>
              <w:numPr>
                <w:ilvl w:val="0"/>
                <w:numId w:val="3"/>
              </w:numPr>
              <w:spacing w:after="0" w:line="240" w:lineRule="auto"/>
              <w:textAlignment w:val="baseline"/>
              <w:rPr>
                <w:rFonts w:ascii="Calibri" w:eastAsia="Times New Roman" w:hAnsi="Calibri" w:cs="Calibri"/>
                <w:kern w:val="0"/>
                <w:lang w:eastAsia="nl-NL"/>
                <w14:ligatures w14:val="none"/>
              </w:rPr>
            </w:pPr>
            <w:r w:rsidRPr="006F1DBF">
              <w:rPr>
                <w:rFonts w:ascii="Calibri" w:eastAsia="Times New Roman" w:hAnsi="Calibri" w:cs="Calibri"/>
                <w:kern w:val="0"/>
                <w:lang w:eastAsia="nl-NL"/>
                <w14:ligatures w14:val="none"/>
              </w:rPr>
              <w:t>Gespecialiseerde zorg verstandelijk gehandicapten: </w:t>
            </w:r>
          </w:p>
          <w:p w14:paraId="7D73E713" w14:textId="77777777" w:rsidR="006F1DBF" w:rsidRPr="006F1DBF" w:rsidRDefault="006F1DBF" w:rsidP="006F1DBF">
            <w:pPr>
              <w:spacing w:after="0" w:line="240" w:lineRule="auto"/>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kern w:val="0"/>
                <w:lang w:eastAsia="nl-NL"/>
                <w14:ligatures w14:val="none"/>
              </w:rPr>
              <w:t>            1. SGLVG/SGLVG+ </w:t>
            </w:r>
          </w:p>
          <w:p w14:paraId="6274CE11" w14:textId="77777777" w:rsidR="006F1DBF" w:rsidRPr="006F1DBF" w:rsidRDefault="006F1DBF" w:rsidP="006F1DBF">
            <w:pPr>
              <w:spacing w:after="0" w:line="240" w:lineRule="auto"/>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kern w:val="0"/>
                <w:lang w:eastAsia="nl-NL"/>
                <w14:ligatures w14:val="none"/>
              </w:rPr>
              <w:t>            2. VG Verblijf </w:t>
            </w:r>
          </w:p>
        </w:tc>
        <w:tc>
          <w:tcPr>
            <w:tcW w:w="2085" w:type="dxa"/>
            <w:tcBorders>
              <w:top w:val="single" w:sz="6" w:space="0" w:color="auto"/>
              <w:left w:val="single" w:sz="6" w:space="0" w:color="auto"/>
              <w:bottom w:val="single" w:sz="6" w:space="0" w:color="auto"/>
              <w:right w:val="single" w:sz="6" w:space="0" w:color="auto"/>
            </w:tcBorders>
            <w:hideMark/>
          </w:tcPr>
          <w:p w14:paraId="36126048" w14:textId="77777777" w:rsidR="006F1DBF" w:rsidRPr="006F1DBF" w:rsidRDefault="006F1DBF" w:rsidP="006F1DBF">
            <w:pPr>
              <w:spacing w:after="0" w:line="240" w:lineRule="auto"/>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kern w:val="0"/>
                <w:lang w:eastAsia="nl-NL"/>
                <w14:ligatures w14:val="none"/>
              </w:rPr>
              <w:t> </w:t>
            </w:r>
          </w:p>
        </w:tc>
        <w:tc>
          <w:tcPr>
            <w:tcW w:w="1980" w:type="dxa"/>
            <w:tcBorders>
              <w:top w:val="single" w:sz="6" w:space="0" w:color="auto"/>
              <w:left w:val="single" w:sz="6" w:space="0" w:color="auto"/>
              <w:bottom w:val="single" w:sz="6" w:space="0" w:color="auto"/>
              <w:right w:val="single" w:sz="6" w:space="0" w:color="auto"/>
            </w:tcBorders>
            <w:hideMark/>
          </w:tcPr>
          <w:p w14:paraId="7A047887" w14:textId="77777777" w:rsidR="006F1DBF" w:rsidRPr="006F1DBF" w:rsidRDefault="006F1DBF" w:rsidP="006F1DBF">
            <w:pPr>
              <w:spacing w:after="0" w:line="240" w:lineRule="auto"/>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kern w:val="0"/>
                <w:lang w:eastAsia="nl-NL"/>
                <w14:ligatures w14:val="none"/>
              </w:rPr>
              <w:t> </w:t>
            </w:r>
          </w:p>
        </w:tc>
      </w:tr>
      <w:tr w:rsidR="006F1DBF" w:rsidRPr="006F1DBF" w14:paraId="58F9BF98" w14:textId="77777777">
        <w:trPr>
          <w:trHeight w:val="300"/>
        </w:trPr>
        <w:tc>
          <w:tcPr>
            <w:tcW w:w="5550" w:type="dxa"/>
            <w:tcBorders>
              <w:top w:val="single" w:sz="6" w:space="0" w:color="auto"/>
              <w:left w:val="single" w:sz="6" w:space="0" w:color="auto"/>
              <w:bottom w:val="single" w:sz="6" w:space="0" w:color="auto"/>
              <w:right w:val="single" w:sz="6" w:space="0" w:color="auto"/>
            </w:tcBorders>
            <w:hideMark/>
          </w:tcPr>
          <w:p w14:paraId="06FF29E5" w14:textId="766C91AB" w:rsidR="006F1DBF" w:rsidRPr="006F1DBF" w:rsidRDefault="006F1DBF">
            <w:pPr>
              <w:pStyle w:val="Lijstalinea"/>
              <w:numPr>
                <w:ilvl w:val="0"/>
                <w:numId w:val="3"/>
              </w:numPr>
              <w:spacing w:after="0" w:line="240" w:lineRule="auto"/>
              <w:textAlignment w:val="baseline"/>
              <w:rPr>
                <w:rFonts w:ascii="Calibri" w:eastAsia="Times New Roman" w:hAnsi="Calibri" w:cs="Calibri"/>
                <w:kern w:val="0"/>
                <w:lang w:eastAsia="nl-NL"/>
                <w14:ligatures w14:val="none"/>
              </w:rPr>
            </w:pPr>
            <w:r w:rsidRPr="006F1DBF">
              <w:rPr>
                <w:rFonts w:ascii="Calibri" w:eastAsia="Times New Roman" w:hAnsi="Calibri" w:cs="Calibri"/>
                <w:kern w:val="0"/>
                <w:lang w:eastAsia="nl-NL"/>
                <w14:ligatures w14:val="none"/>
              </w:rPr>
              <w:t>(Forensisch) Beschermd wonen (BW) </w:t>
            </w:r>
          </w:p>
        </w:tc>
        <w:tc>
          <w:tcPr>
            <w:tcW w:w="2085" w:type="dxa"/>
            <w:tcBorders>
              <w:top w:val="single" w:sz="6" w:space="0" w:color="auto"/>
              <w:left w:val="single" w:sz="6" w:space="0" w:color="auto"/>
              <w:bottom w:val="single" w:sz="6" w:space="0" w:color="auto"/>
              <w:right w:val="single" w:sz="6" w:space="0" w:color="auto"/>
            </w:tcBorders>
            <w:hideMark/>
          </w:tcPr>
          <w:p w14:paraId="05F6F86F" w14:textId="628BACED" w:rsidR="006F1DBF" w:rsidRPr="006F1DBF" w:rsidRDefault="006F1DBF">
            <w:pPr>
              <w:pStyle w:val="Lijstalinea"/>
              <w:numPr>
                <w:ilvl w:val="0"/>
                <w:numId w:val="6"/>
              </w:numPr>
              <w:spacing w:after="0" w:line="240" w:lineRule="auto"/>
              <w:textAlignment w:val="baseline"/>
              <w:rPr>
                <w:rFonts w:ascii="Segoe UI" w:eastAsia="Times New Roman" w:hAnsi="Segoe UI" w:cs="Segoe UI"/>
                <w:kern w:val="0"/>
                <w:sz w:val="18"/>
                <w:szCs w:val="18"/>
                <w:lang w:eastAsia="nl-NL"/>
                <w14:ligatures w14:val="none"/>
              </w:rPr>
            </w:pPr>
          </w:p>
        </w:tc>
        <w:tc>
          <w:tcPr>
            <w:tcW w:w="1980" w:type="dxa"/>
            <w:tcBorders>
              <w:top w:val="single" w:sz="6" w:space="0" w:color="auto"/>
              <w:left w:val="single" w:sz="6" w:space="0" w:color="auto"/>
              <w:bottom w:val="single" w:sz="6" w:space="0" w:color="auto"/>
              <w:right w:val="single" w:sz="6" w:space="0" w:color="auto"/>
            </w:tcBorders>
            <w:hideMark/>
          </w:tcPr>
          <w:p w14:paraId="6EA55D50" w14:textId="77777777" w:rsidR="006F1DBF" w:rsidRPr="006F1DBF" w:rsidRDefault="006F1DBF" w:rsidP="006F1DBF">
            <w:pPr>
              <w:spacing w:after="0" w:line="240" w:lineRule="auto"/>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kern w:val="0"/>
                <w:lang w:eastAsia="nl-NL"/>
                <w14:ligatures w14:val="none"/>
              </w:rPr>
              <w:t>2 </w:t>
            </w:r>
          </w:p>
        </w:tc>
      </w:tr>
      <w:tr w:rsidR="006F1DBF" w:rsidRPr="006F1DBF" w14:paraId="46325727" w14:textId="77777777">
        <w:trPr>
          <w:trHeight w:val="300"/>
        </w:trPr>
        <w:tc>
          <w:tcPr>
            <w:tcW w:w="5550" w:type="dxa"/>
            <w:tcBorders>
              <w:top w:val="single" w:sz="6" w:space="0" w:color="auto"/>
              <w:left w:val="single" w:sz="6" w:space="0" w:color="auto"/>
              <w:bottom w:val="single" w:sz="6" w:space="0" w:color="auto"/>
              <w:right w:val="single" w:sz="6" w:space="0" w:color="auto"/>
            </w:tcBorders>
            <w:hideMark/>
          </w:tcPr>
          <w:p w14:paraId="00381C0A" w14:textId="57BB1368" w:rsidR="006F1DBF" w:rsidRPr="006F1DBF" w:rsidRDefault="006F1DBF">
            <w:pPr>
              <w:pStyle w:val="Lijstalinea"/>
              <w:numPr>
                <w:ilvl w:val="0"/>
                <w:numId w:val="3"/>
              </w:numPr>
              <w:spacing w:after="0" w:line="240" w:lineRule="auto"/>
              <w:textAlignment w:val="baseline"/>
              <w:rPr>
                <w:rFonts w:ascii="Calibri" w:eastAsia="Times New Roman" w:hAnsi="Calibri" w:cs="Calibri"/>
                <w:kern w:val="0"/>
                <w:lang w:eastAsia="nl-NL"/>
                <w14:ligatures w14:val="none"/>
              </w:rPr>
            </w:pPr>
            <w:r w:rsidRPr="006F1DBF">
              <w:rPr>
                <w:rFonts w:ascii="Calibri" w:eastAsia="Times New Roman" w:hAnsi="Calibri" w:cs="Calibri"/>
                <w:kern w:val="0"/>
                <w:lang w:eastAsia="nl-NL"/>
                <w14:ligatures w14:val="none"/>
              </w:rPr>
              <w:t>Maatschappelijke opvang (MO) </w:t>
            </w:r>
          </w:p>
        </w:tc>
        <w:tc>
          <w:tcPr>
            <w:tcW w:w="2085" w:type="dxa"/>
            <w:tcBorders>
              <w:top w:val="single" w:sz="6" w:space="0" w:color="auto"/>
              <w:left w:val="single" w:sz="6" w:space="0" w:color="auto"/>
              <w:bottom w:val="single" w:sz="6" w:space="0" w:color="auto"/>
              <w:right w:val="single" w:sz="6" w:space="0" w:color="auto"/>
            </w:tcBorders>
            <w:hideMark/>
          </w:tcPr>
          <w:p w14:paraId="03985BBE" w14:textId="77777777" w:rsidR="006F1DBF" w:rsidRPr="006F1DBF" w:rsidRDefault="006F1DBF" w:rsidP="006F1DBF">
            <w:pPr>
              <w:spacing w:after="0" w:line="240" w:lineRule="auto"/>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kern w:val="0"/>
                <w:lang w:eastAsia="nl-NL"/>
                <w14:ligatures w14:val="none"/>
              </w:rPr>
              <w:t> </w:t>
            </w:r>
          </w:p>
        </w:tc>
        <w:tc>
          <w:tcPr>
            <w:tcW w:w="1980" w:type="dxa"/>
            <w:tcBorders>
              <w:top w:val="single" w:sz="6" w:space="0" w:color="auto"/>
              <w:left w:val="single" w:sz="6" w:space="0" w:color="auto"/>
              <w:bottom w:val="single" w:sz="6" w:space="0" w:color="auto"/>
              <w:right w:val="single" w:sz="6" w:space="0" w:color="auto"/>
            </w:tcBorders>
            <w:hideMark/>
          </w:tcPr>
          <w:p w14:paraId="07042CAB" w14:textId="77777777" w:rsidR="006F1DBF" w:rsidRPr="006F1DBF" w:rsidRDefault="006F1DBF" w:rsidP="006F1DBF">
            <w:pPr>
              <w:spacing w:after="0" w:line="240" w:lineRule="auto"/>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kern w:val="0"/>
                <w:lang w:eastAsia="nl-NL"/>
                <w14:ligatures w14:val="none"/>
              </w:rPr>
              <w:t> </w:t>
            </w:r>
          </w:p>
        </w:tc>
      </w:tr>
      <w:tr w:rsidR="006F1DBF" w:rsidRPr="006F1DBF" w14:paraId="31ECAF8A" w14:textId="77777777">
        <w:trPr>
          <w:trHeight w:val="300"/>
        </w:trPr>
        <w:tc>
          <w:tcPr>
            <w:tcW w:w="5550" w:type="dxa"/>
            <w:tcBorders>
              <w:top w:val="single" w:sz="6" w:space="0" w:color="auto"/>
              <w:left w:val="single" w:sz="6" w:space="0" w:color="auto"/>
              <w:bottom w:val="single" w:sz="6" w:space="0" w:color="auto"/>
              <w:right w:val="single" w:sz="6" w:space="0" w:color="auto"/>
            </w:tcBorders>
            <w:hideMark/>
          </w:tcPr>
          <w:p w14:paraId="14463B37" w14:textId="25DC916F" w:rsidR="006F1DBF" w:rsidRPr="006F1DBF" w:rsidRDefault="006F1DBF">
            <w:pPr>
              <w:pStyle w:val="Lijstalinea"/>
              <w:numPr>
                <w:ilvl w:val="0"/>
                <w:numId w:val="3"/>
              </w:numPr>
              <w:spacing w:after="0" w:line="240" w:lineRule="auto"/>
              <w:textAlignment w:val="baseline"/>
              <w:rPr>
                <w:rFonts w:ascii="Calibri" w:eastAsia="Times New Roman" w:hAnsi="Calibri" w:cs="Calibri"/>
                <w:kern w:val="0"/>
                <w:lang w:eastAsia="nl-NL"/>
                <w14:ligatures w14:val="none"/>
              </w:rPr>
            </w:pPr>
            <w:r w:rsidRPr="006F1DBF">
              <w:rPr>
                <w:rFonts w:ascii="Calibri" w:eastAsia="Times New Roman" w:hAnsi="Calibri" w:cs="Calibri"/>
                <w:kern w:val="0"/>
                <w:lang w:eastAsia="nl-NL"/>
                <w14:ligatures w14:val="none"/>
              </w:rPr>
              <w:t>Ambulante begeleiding </w:t>
            </w:r>
          </w:p>
        </w:tc>
        <w:tc>
          <w:tcPr>
            <w:tcW w:w="2085" w:type="dxa"/>
            <w:tcBorders>
              <w:top w:val="single" w:sz="6" w:space="0" w:color="auto"/>
              <w:left w:val="single" w:sz="6" w:space="0" w:color="auto"/>
              <w:bottom w:val="single" w:sz="6" w:space="0" w:color="auto"/>
              <w:right w:val="single" w:sz="6" w:space="0" w:color="auto"/>
            </w:tcBorders>
            <w:hideMark/>
          </w:tcPr>
          <w:p w14:paraId="655A6613" w14:textId="60C1FC08" w:rsidR="006F1DBF" w:rsidRPr="006F1DBF" w:rsidRDefault="006F1DBF">
            <w:pPr>
              <w:pStyle w:val="Lijstalinea"/>
              <w:numPr>
                <w:ilvl w:val="0"/>
                <w:numId w:val="7"/>
              </w:numPr>
              <w:spacing w:after="0" w:line="240" w:lineRule="auto"/>
              <w:textAlignment w:val="baseline"/>
              <w:rPr>
                <w:rFonts w:ascii="Segoe UI" w:eastAsia="Times New Roman" w:hAnsi="Segoe UI" w:cs="Segoe UI"/>
                <w:kern w:val="0"/>
                <w:sz w:val="18"/>
                <w:szCs w:val="18"/>
                <w:lang w:eastAsia="nl-NL"/>
                <w14:ligatures w14:val="none"/>
              </w:rPr>
            </w:pPr>
          </w:p>
        </w:tc>
        <w:tc>
          <w:tcPr>
            <w:tcW w:w="1980" w:type="dxa"/>
            <w:tcBorders>
              <w:top w:val="single" w:sz="6" w:space="0" w:color="auto"/>
              <w:left w:val="single" w:sz="6" w:space="0" w:color="auto"/>
              <w:bottom w:val="single" w:sz="6" w:space="0" w:color="auto"/>
              <w:right w:val="single" w:sz="6" w:space="0" w:color="auto"/>
            </w:tcBorders>
            <w:hideMark/>
          </w:tcPr>
          <w:p w14:paraId="580AD07A" w14:textId="77777777" w:rsidR="006F1DBF" w:rsidRPr="006F1DBF" w:rsidRDefault="006F1DBF" w:rsidP="006F1DBF">
            <w:pPr>
              <w:spacing w:after="0" w:line="240" w:lineRule="auto"/>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kern w:val="0"/>
                <w:lang w:eastAsia="nl-NL"/>
                <w14:ligatures w14:val="none"/>
              </w:rPr>
              <w:t>3 </w:t>
            </w:r>
          </w:p>
        </w:tc>
      </w:tr>
      <w:tr w:rsidR="006F1DBF" w:rsidRPr="006F1DBF" w14:paraId="67E2CF54" w14:textId="77777777">
        <w:trPr>
          <w:trHeight w:val="300"/>
        </w:trPr>
        <w:tc>
          <w:tcPr>
            <w:tcW w:w="5550" w:type="dxa"/>
            <w:tcBorders>
              <w:top w:val="single" w:sz="6" w:space="0" w:color="auto"/>
              <w:left w:val="single" w:sz="6" w:space="0" w:color="auto"/>
              <w:bottom w:val="single" w:sz="6" w:space="0" w:color="auto"/>
              <w:right w:val="single" w:sz="6" w:space="0" w:color="auto"/>
            </w:tcBorders>
            <w:hideMark/>
          </w:tcPr>
          <w:p w14:paraId="60170517" w14:textId="2F9E9F38" w:rsidR="006F1DBF" w:rsidRPr="006F1DBF" w:rsidRDefault="006F1DBF">
            <w:pPr>
              <w:pStyle w:val="Lijstalinea"/>
              <w:numPr>
                <w:ilvl w:val="0"/>
                <w:numId w:val="3"/>
              </w:numPr>
              <w:spacing w:after="0" w:line="240" w:lineRule="auto"/>
              <w:textAlignment w:val="baseline"/>
              <w:rPr>
                <w:rFonts w:ascii="Calibri" w:eastAsia="Times New Roman" w:hAnsi="Calibri" w:cs="Calibri"/>
                <w:kern w:val="0"/>
                <w:lang w:eastAsia="nl-NL"/>
                <w14:ligatures w14:val="none"/>
              </w:rPr>
            </w:pPr>
            <w:r w:rsidRPr="006F1DBF">
              <w:rPr>
                <w:rFonts w:ascii="Calibri" w:eastAsia="Times New Roman" w:hAnsi="Calibri" w:cs="Calibri"/>
                <w:kern w:val="0"/>
                <w:lang w:eastAsia="nl-NL"/>
                <w14:ligatures w14:val="none"/>
              </w:rPr>
              <w:t>Anders, niet bekend </w:t>
            </w:r>
          </w:p>
        </w:tc>
        <w:tc>
          <w:tcPr>
            <w:tcW w:w="2085" w:type="dxa"/>
            <w:tcBorders>
              <w:top w:val="single" w:sz="6" w:space="0" w:color="auto"/>
              <w:left w:val="single" w:sz="6" w:space="0" w:color="auto"/>
              <w:bottom w:val="single" w:sz="6" w:space="0" w:color="auto"/>
              <w:right w:val="single" w:sz="6" w:space="0" w:color="auto"/>
            </w:tcBorders>
            <w:hideMark/>
          </w:tcPr>
          <w:p w14:paraId="6E2B39E4" w14:textId="126949DE" w:rsidR="006F1DBF" w:rsidRPr="006F1DBF" w:rsidRDefault="006F1DBF">
            <w:pPr>
              <w:pStyle w:val="Lijstalinea"/>
              <w:numPr>
                <w:ilvl w:val="0"/>
                <w:numId w:val="8"/>
              </w:numPr>
              <w:spacing w:after="0" w:line="240" w:lineRule="auto"/>
              <w:textAlignment w:val="baseline"/>
              <w:rPr>
                <w:rFonts w:ascii="Segoe UI" w:eastAsia="Times New Roman" w:hAnsi="Segoe UI" w:cs="Segoe UI"/>
                <w:kern w:val="0"/>
                <w:sz w:val="18"/>
                <w:szCs w:val="18"/>
                <w:lang w:eastAsia="nl-NL"/>
                <w14:ligatures w14:val="none"/>
              </w:rPr>
            </w:pPr>
          </w:p>
        </w:tc>
        <w:tc>
          <w:tcPr>
            <w:tcW w:w="1980" w:type="dxa"/>
            <w:tcBorders>
              <w:top w:val="single" w:sz="6" w:space="0" w:color="auto"/>
              <w:left w:val="single" w:sz="6" w:space="0" w:color="auto"/>
              <w:bottom w:val="single" w:sz="6" w:space="0" w:color="auto"/>
              <w:right w:val="single" w:sz="6" w:space="0" w:color="auto"/>
            </w:tcBorders>
            <w:hideMark/>
          </w:tcPr>
          <w:p w14:paraId="0B58C74F" w14:textId="77777777" w:rsidR="006F1DBF" w:rsidRPr="006F1DBF" w:rsidRDefault="006F1DBF" w:rsidP="006F1DBF">
            <w:pPr>
              <w:spacing w:after="0" w:line="240" w:lineRule="auto"/>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kern w:val="0"/>
                <w:lang w:eastAsia="nl-NL"/>
                <w14:ligatures w14:val="none"/>
              </w:rPr>
              <w:t>4 </w:t>
            </w:r>
          </w:p>
        </w:tc>
      </w:tr>
      <w:tr w:rsidR="006F1DBF" w:rsidRPr="006F1DBF" w14:paraId="2367EBA9" w14:textId="77777777">
        <w:trPr>
          <w:trHeight w:val="300"/>
        </w:trPr>
        <w:tc>
          <w:tcPr>
            <w:tcW w:w="5550" w:type="dxa"/>
            <w:tcBorders>
              <w:top w:val="single" w:sz="6" w:space="0" w:color="auto"/>
              <w:left w:val="single" w:sz="6" w:space="0" w:color="auto"/>
              <w:bottom w:val="single" w:sz="6" w:space="0" w:color="auto"/>
              <w:right w:val="single" w:sz="6" w:space="0" w:color="auto"/>
            </w:tcBorders>
            <w:hideMark/>
          </w:tcPr>
          <w:p w14:paraId="0338BB1C" w14:textId="751C102D" w:rsidR="006F1DBF" w:rsidRPr="006F1DBF" w:rsidRDefault="006F1DBF">
            <w:pPr>
              <w:pStyle w:val="Lijstalinea"/>
              <w:numPr>
                <w:ilvl w:val="0"/>
                <w:numId w:val="3"/>
              </w:numPr>
              <w:spacing w:after="0" w:line="240" w:lineRule="auto"/>
              <w:textAlignment w:val="baseline"/>
              <w:rPr>
                <w:rFonts w:ascii="Calibri" w:eastAsia="Times New Roman" w:hAnsi="Calibri" w:cs="Calibri"/>
                <w:kern w:val="0"/>
                <w:lang w:eastAsia="nl-NL"/>
                <w14:ligatures w14:val="none"/>
              </w:rPr>
            </w:pPr>
            <w:r w:rsidRPr="006F1DBF">
              <w:rPr>
                <w:rFonts w:ascii="Calibri" w:eastAsia="Times New Roman" w:hAnsi="Calibri" w:cs="Calibri"/>
                <w:kern w:val="0"/>
                <w:lang w:eastAsia="nl-NL"/>
                <w14:ligatures w14:val="none"/>
              </w:rPr>
              <w:t>Geen vervolgzorg nodig </w:t>
            </w:r>
          </w:p>
        </w:tc>
        <w:tc>
          <w:tcPr>
            <w:tcW w:w="2085" w:type="dxa"/>
            <w:tcBorders>
              <w:top w:val="single" w:sz="6" w:space="0" w:color="auto"/>
              <w:left w:val="single" w:sz="6" w:space="0" w:color="auto"/>
              <w:bottom w:val="single" w:sz="6" w:space="0" w:color="auto"/>
              <w:right w:val="single" w:sz="6" w:space="0" w:color="auto"/>
            </w:tcBorders>
            <w:hideMark/>
          </w:tcPr>
          <w:p w14:paraId="326EE2BC" w14:textId="77777777" w:rsidR="006F1DBF" w:rsidRPr="006F1DBF" w:rsidRDefault="006F1DBF" w:rsidP="006F1DBF">
            <w:pPr>
              <w:spacing w:after="0" w:line="240" w:lineRule="auto"/>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kern w:val="0"/>
                <w:lang w:eastAsia="nl-NL"/>
                <w14:ligatures w14:val="none"/>
              </w:rPr>
              <w:t> </w:t>
            </w:r>
          </w:p>
        </w:tc>
        <w:tc>
          <w:tcPr>
            <w:tcW w:w="1980" w:type="dxa"/>
            <w:tcBorders>
              <w:top w:val="single" w:sz="6" w:space="0" w:color="auto"/>
              <w:left w:val="single" w:sz="6" w:space="0" w:color="auto"/>
              <w:bottom w:val="single" w:sz="6" w:space="0" w:color="auto"/>
              <w:right w:val="single" w:sz="6" w:space="0" w:color="auto"/>
            </w:tcBorders>
            <w:hideMark/>
          </w:tcPr>
          <w:p w14:paraId="62FD1DAA" w14:textId="77777777" w:rsidR="006F1DBF" w:rsidRPr="006F1DBF" w:rsidRDefault="006F1DBF" w:rsidP="006F1DBF">
            <w:pPr>
              <w:spacing w:after="0" w:line="240" w:lineRule="auto"/>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kern w:val="0"/>
                <w:lang w:eastAsia="nl-NL"/>
                <w14:ligatures w14:val="none"/>
              </w:rPr>
              <w:t>1 </w:t>
            </w:r>
          </w:p>
        </w:tc>
      </w:tr>
    </w:tbl>
    <w:p w14:paraId="7E9222C4" w14:textId="77777777" w:rsidR="006F1DBF" w:rsidRDefault="006F1DBF" w:rsidP="006F1DBF">
      <w:pPr>
        <w:rPr>
          <w:rFonts w:asciiTheme="minorHAnsi" w:hAnsiTheme="minorHAnsi" w:cstheme="minorHAnsi"/>
        </w:rPr>
      </w:pPr>
    </w:p>
    <w:p w14:paraId="172BB357" w14:textId="179F3D3D" w:rsidR="006F1DBF" w:rsidRPr="006F1DBF" w:rsidRDefault="006F1DBF" w:rsidP="006F1DBF">
      <w:pPr>
        <w:rPr>
          <w:rFonts w:asciiTheme="minorHAnsi" w:hAnsiTheme="minorHAnsi" w:cstheme="minorHAnsi"/>
        </w:rPr>
      </w:pPr>
      <w:r w:rsidRPr="006F1DBF">
        <w:rPr>
          <w:rFonts w:asciiTheme="minorHAnsi" w:hAnsiTheme="minorHAnsi" w:cstheme="minorHAnsi"/>
          <w:b/>
          <w:bCs/>
        </w:rPr>
        <w:t>4.5.3 Indicator 3: Ernst problematiek in de settingen klinisch en ambulant</w:t>
      </w:r>
      <w:r w:rsidRPr="006F1DBF">
        <w:rPr>
          <w:rFonts w:asciiTheme="minorHAnsi" w:hAnsiTheme="minorHAnsi" w:cstheme="minorHAnsi"/>
        </w:rPr>
        <w:t> </w:t>
      </w:r>
      <w:r>
        <w:rPr>
          <w:rFonts w:asciiTheme="minorHAnsi" w:hAnsiTheme="minorHAnsi" w:cstheme="minorHAnsi"/>
        </w:rPr>
        <w:br/>
      </w:r>
      <w:r w:rsidRPr="006F1DBF">
        <w:rPr>
          <w:rFonts w:asciiTheme="minorHAnsi" w:hAnsiTheme="minorHAnsi" w:cstheme="minorHAnsi"/>
        </w:rPr>
        <w:t>Indicator 3 meet de verandering van de ernst van de problematiek bij cliënten. Dit is geoperationaliseerd in het aantal geldige metingen met instrumenten voor het meten van de ernst van de problematiek op de peildatum (31 december 2025). In de ambulante en klinische behandeling wordt voor het meten van de ernst van de problematiek onder meer gebruik gemaakt van Module 7 van de MATE vragenlijst (afgekort Mate 7).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5"/>
        <w:gridCol w:w="945"/>
        <w:gridCol w:w="4050"/>
      </w:tblGrid>
      <w:tr w:rsidR="006F1DBF" w:rsidRPr="006F1DBF" w14:paraId="6B4747F4" w14:textId="77777777">
        <w:trPr>
          <w:trHeight w:val="270"/>
        </w:trPr>
        <w:tc>
          <w:tcPr>
            <w:tcW w:w="3195" w:type="dxa"/>
            <w:tcBorders>
              <w:top w:val="single" w:sz="6" w:space="0" w:color="000000"/>
              <w:left w:val="single" w:sz="6" w:space="0" w:color="000000"/>
              <w:bottom w:val="single" w:sz="6" w:space="0" w:color="000000"/>
              <w:right w:val="single" w:sz="6" w:space="0" w:color="000000"/>
            </w:tcBorders>
            <w:hideMark/>
          </w:tcPr>
          <w:p w14:paraId="14EE0926" w14:textId="77777777" w:rsidR="006F1DBF" w:rsidRPr="006F1DBF" w:rsidRDefault="006F1DBF" w:rsidP="006F1DBF">
            <w:pPr>
              <w:spacing w:after="0" w:line="240" w:lineRule="auto"/>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b/>
                <w:bCs/>
                <w:color w:val="000000"/>
                <w:kern w:val="0"/>
                <w:lang w:eastAsia="nl-NL"/>
                <w14:ligatures w14:val="none"/>
              </w:rPr>
              <w:t>Indicator 3 – De Hoop</w:t>
            </w:r>
            <w:r w:rsidRPr="006F1DBF">
              <w:rPr>
                <w:rFonts w:ascii="Calibri" w:eastAsia="Times New Roman" w:hAnsi="Calibri" w:cs="Calibri"/>
                <w:color w:val="000000"/>
                <w:kern w:val="0"/>
                <w:lang w:eastAsia="nl-NL"/>
                <w14:ligatures w14:val="none"/>
              </w:rPr>
              <w:t> </w:t>
            </w:r>
          </w:p>
        </w:tc>
        <w:tc>
          <w:tcPr>
            <w:tcW w:w="945" w:type="dxa"/>
            <w:tcBorders>
              <w:top w:val="single" w:sz="6" w:space="0" w:color="000000"/>
              <w:left w:val="single" w:sz="6" w:space="0" w:color="000000"/>
              <w:bottom w:val="single" w:sz="6" w:space="0" w:color="000000"/>
              <w:right w:val="single" w:sz="6" w:space="0" w:color="000000"/>
            </w:tcBorders>
            <w:hideMark/>
          </w:tcPr>
          <w:p w14:paraId="0AE1B380" w14:textId="77777777" w:rsidR="006F1DBF" w:rsidRPr="006F1DBF" w:rsidRDefault="006F1DBF" w:rsidP="006F1DBF">
            <w:pPr>
              <w:spacing w:after="0" w:line="240" w:lineRule="auto"/>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b/>
                <w:bCs/>
                <w:color w:val="000000"/>
                <w:kern w:val="0"/>
                <w:lang w:eastAsia="nl-NL"/>
                <w14:ligatures w14:val="none"/>
              </w:rPr>
              <w:t>Aantal</w:t>
            </w:r>
            <w:r w:rsidRPr="006F1DBF">
              <w:rPr>
                <w:rFonts w:ascii="Calibri" w:eastAsia="Times New Roman" w:hAnsi="Calibri" w:cs="Calibri"/>
                <w:color w:val="000000"/>
                <w:kern w:val="0"/>
                <w:lang w:eastAsia="nl-NL"/>
                <w14:ligatures w14:val="none"/>
              </w:rPr>
              <w:t> </w:t>
            </w:r>
          </w:p>
        </w:tc>
        <w:tc>
          <w:tcPr>
            <w:tcW w:w="4050" w:type="dxa"/>
            <w:tcBorders>
              <w:top w:val="single" w:sz="6" w:space="0" w:color="000000"/>
              <w:left w:val="single" w:sz="6" w:space="0" w:color="000000"/>
              <w:bottom w:val="single" w:sz="6" w:space="0" w:color="000000"/>
              <w:right w:val="single" w:sz="6" w:space="0" w:color="000000"/>
            </w:tcBorders>
            <w:hideMark/>
          </w:tcPr>
          <w:p w14:paraId="0FAFEDED" w14:textId="77777777" w:rsidR="006F1DBF" w:rsidRPr="006F1DBF" w:rsidRDefault="006F1DBF" w:rsidP="006F1DBF">
            <w:pPr>
              <w:spacing w:after="0" w:line="240" w:lineRule="auto"/>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b/>
                <w:bCs/>
                <w:color w:val="000000"/>
                <w:kern w:val="0"/>
                <w:lang w:eastAsia="nl-NL"/>
                <w14:ligatures w14:val="none"/>
              </w:rPr>
              <w:t>Percentage geldige metingen</w:t>
            </w:r>
            <w:r w:rsidRPr="006F1DBF">
              <w:rPr>
                <w:rFonts w:ascii="Calibri" w:eastAsia="Times New Roman" w:hAnsi="Calibri" w:cs="Calibri"/>
                <w:color w:val="000000"/>
                <w:kern w:val="0"/>
                <w:lang w:eastAsia="nl-NL"/>
                <w14:ligatures w14:val="none"/>
              </w:rPr>
              <w:t> </w:t>
            </w:r>
          </w:p>
        </w:tc>
      </w:tr>
      <w:tr w:rsidR="006F1DBF" w:rsidRPr="006F1DBF" w14:paraId="7EDDE62A" w14:textId="77777777">
        <w:trPr>
          <w:trHeight w:val="270"/>
        </w:trPr>
        <w:tc>
          <w:tcPr>
            <w:tcW w:w="3195" w:type="dxa"/>
            <w:tcBorders>
              <w:top w:val="single" w:sz="6" w:space="0" w:color="000000"/>
              <w:left w:val="single" w:sz="6" w:space="0" w:color="000000"/>
              <w:bottom w:val="single" w:sz="6" w:space="0" w:color="000000"/>
              <w:right w:val="single" w:sz="6" w:space="0" w:color="000000"/>
            </w:tcBorders>
            <w:shd w:val="clear" w:color="auto" w:fill="F2F2F2"/>
            <w:hideMark/>
          </w:tcPr>
          <w:p w14:paraId="28A057F3" w14:textId="77777777" w:rsidR="006F1DBF" w:rsidRPr="006F1DBF" w:rsidRDefault="006F1DBF" w:rsidP="006F1DBF">
            <w:pPr>
              <w:spacing w:after="0" w:line="240" w:lineRule="auto"/>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color w:val="000000"/>
                <w:kern w:val="0"/>
                <w:lang w:eastAsia="nl-NL"/>
                <w14:ligatures w14:val="none"/>
              </w:rPr>
              <w:t>Ambulant - # cliënten in zorg </w:t>
            </w:r>
          </w:p>
        </w:tc>
        <w:tc>
          <w:tcPr>
            <w:tcW w:w="945" w:type="dxa"/>
            <w:tcBorders>
              <w:top w:val="single" w:sz="6" w:space="0" w:color="000000"/>
              <w:left w:val="single" w:sz="6" w:space="0" w:color="000000"/>
              <w:bottom w:val="single" w:sz="6" w:space="0" w:color="000000"/>
              <w:right w:val="single" w:sz="6" w:space="0" w:color="000000"/>
            </w:tcBorders>
            <w:shd w:val="clear" w:color="auto" w:fill="F2F2F2"/>
            <w:hideMark/>
          </w:tcPr>
          <w:p w14:paraId="2A5AC5F1" w14:textId="77777777" w:rsidR="006F1DBF" w:rsidRPr="006F1DBF" w:rsidRDefault="006F1DBF" w:rsidP="006F1DBF">
            <w:pPr>
              <w:spacing w:after="0" w:line="240" w:lineRule="auto"/>
              <w:jc w:val="right"/>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kern w:val="0"/>
                <w:sz w:val="20"/>
                <w:szCs w:val="20"/>
                <w:lang w:eastAsia="nl-NL"/>
                <w14:ligatures w14:val="none"/>
              </w:rPr>
              <w:t>8 </w:t>
            </w:r>
          </w:p>
        </w:tc>
        <w:tc>
          <w:tcPr>
            <w:tcW w:w="4050" w:type="dxa"/>
            <w:tcBorders>
              <w:top w:val="single" w:sz="6" w:space="0" w:color="000000"/>
              <w:left w:val="single" w:sz="6" w:space="0" w:color="000000"/>
              <w:bottom w:val="single" w:sz="6" w:space="0" w:color="000000"/>
              <w:right w:val="single" w:sz="6" w:space="0" w:color="000000"/>
            </w:tcBorders>
            <w:shd w:val="clear" w:color="auto" w:fill="F2F2F2"/>
            <w:hideMark/>
          </w:tcPr>
          <w:p w14:paraId="77687F05" w14:textId="77777777" w:rsidR="006F1DBF" w:rsidRPr="006F1DBF" w:rsidRDefault="006F1DBF" w:rsidP="006F1DBF">
            <w:pPr>
              <w:spacing w:after="0" w:line="240" w:lineRule="auto"/>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kern w:val="0"/>
                <w:sz w:val="20"/>
                <w:szCs w:val="20"/>
                <w:lang w:eastAsia="nl-NL"/>
                <w14:ligatures w14:val="none"/>
              </w:rPr>
              <w:t> </w:t>
            </w:r>
          </w:p>
        </w:tc>
      </w:tr>
      <w:tr w:rsidR="006F1DBF" w:rsidRPr="006F1DBF" w14:paraId="5CE7B85F" w14:textId="77777777">
        <w:trPr>
          <w:trHeight w:val="270"/>
        </w:trPr>
        <w:tc>
          <w:tcPr>
            <w:tcW w:w="3195" w:type="dxa"/>
            <w:tcBorders>
              <w:top w:val="single" w:sz="6" w:space="0" w:color="000000"/>
              <w:left w:val="single" w:sz="6" w:space="0" w:color="000000"/>
              <w:bottom w:val="single" w:sz="6" w:space="0" w:color="000000"/>
              <w:right w:val="single" w:sz="6" w:space="0" w:color="000000"/>
            </w:tcBorders>
            <w:hideMark/>
          </w:tcPr>
          <w:p w14:paraId="21D3C322" w14:textId="77777777" w:rsidR="006F1DBF" w:rsidRPr="006F1DBF" w:rsidRDefault="006F1DBF" w:rsidP="006F1DBF">
            <w:pPr>
              <w:spacing w:after="0" w:line="240" w:lineRule="auto"/>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color w:val="000000"/>
                <w:kern w:val="0"/>
                <w:lang w:eastAsia="nl-NL"/>
                <w14:ligatures w14:val="none"/>
              </w:rPr>
              <w:t>Ambulant - # Mate 7 </w:t>
            </w:r>
          </w:p>
        </w:tc>
        <w:tc>
          <w:tcPr>
            <w:tcW w:w="945" w:type="dxa"/>
            <w:tcBorders>
              <w:top w:val="single" w:sz="6" w:space="0" w:color="000000"/>
              <w:left w:val="single" w:sz="6" w:space="0" w:color="000000"/>
              <w:bottom w:val="single" w:sz="6" w:space="0" w:color="000000"/>
              <w:right w:val="single" w:sz="6" w:space="0" w:color="000000"/>
            </w:tcBorders>
            <w:hideMark/>
          </w:tcPr>
          <w:p w14:paraId="53F1BC27" w14:textId="77777777" w:rsidR="006F1DBF" w:rsidRPr="006F1DBF" w:rsidRDefault="006F1DBF" w:rsidP="006F1DBF">
            <w:pPr>
              <w:spacing w:after="0" w:line="240" w:lineRule="auto"/>
              <w:jc w:val="right"/>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kern w:val="0"/>
                <w:sz w:val="20"/>
                <w:szCs w:val="20"/>
                <w:lang w:eastAsia="nl-NL"/>
                <w14:ligatures w14:val="none"/>
              </w:rPr>
              <w:t>3 </w:t>
            </w:r>
          </w:p>
        </w:tc>
        <w:tc>
          <w:tcPr>
            <w:tcW w:w="4050" w:type="dxa"/>
            <w:tcBorders>
              <w:top w:val="single" w:sz="6" w:space="0" w:color="000000"/>
              <w:left w:val="single" w:sz="6" w:space="0" w:color="000000"/>
              <w:bottom w:val="single" w:sz="6" w:space="0" w:color="000000"/>
              <w:right w:val="single" w:sz="6" w:space="0" w:color="000000"/>
            </w:tcBorders>
            <w:hideMark/>
          </w:tcPr>
          <w:p w14:paraId="7BCC04F9" w14:textId="77777777" w:rsidR="006F1DBF" w:rsidRPr="006F1DBF" w:rsidRDefault="006F1DBF" w:rsidP="006F1DBF">
            <w:pPr>
              <w:spacing w:after="0" w:line="240" w:lineRule="auto"/>
              <w:jc w:val="right"/>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kern w:val="0"/>
                <w:sz w:val="20"/>
                <w:szCs w:val="20"/>
                <w:lang w:eastAsia="nl-NL"/>
                <w14:ligatures w14:val="none"/>
              </w:rPr>
              <w:t>38% </w:t>
            </w:r>
          </w:p>
        </w:tc>
      </w:tr>
      <w:tr w:rsidR="006F1DBF" w:rsidRPr="006F1DBF" w14:paraId="3F8E335C" w14:textId="77777777">
        <w:trPr>
          <w:trHeight w:val="270"/>
        </w:trPr>
        <w:tc>
          <w:tcPr>
            <w:tcW w:w="3195" w:type="dxa"/>
            <w:tcBorders>
              <w:top w:val="single" w:sz="6" w:space="0" w:color="000000"/>
              <w:left w:val="single" w:sz="6" w:space="0" w:color="000000"/>
              <w:bottom w:val="single" w:sz="6" w:space="0" w:color="000000"/>
              <w:right w:val="single" w:sz="6" w:space="0" w:color="000000"/>
            </w:tcBorders>
            <w:shd w:val="clear" w:color="auto" w:fill="F2F2F2"/>
            <w:hideMark/>
          </w:tcPr>
          <w:p w14:paraId="4098EE5A" w14:textId="77777777" w:rsidR="006F1DBF" w:rsidRPr="006F1DBF" w:rsidRDefault="006F1DBF" w:rsidP="006F1DBF">
            <w:pPr>
              <w:spacing w:after="0" w:line="240" w:lineRule="auto"/>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color w:val="000000"/>
                <w:kern w:val="0"/>
                <w:lang w:eastAsia="nl-NL"/>
                <w14:ligatures w14:val="none"/>
              </w:rPr>
              <w:t>Klinisch - # cliënten in zorg </w:t>
            </w:r>
          </w:p>
        </w:tc>
        <w:tc>
          <w:tcPr>
            <w:tcW w:w="945" w:type="dxa"/>
            <w:tcBorders>
              <w:top w:val="single" w:sz="6" w:space="0" w:color="000000"/>
              <w:left w:val="single" w:sz="6" w:space="0" w:color="000000"/>
              <w:bottom w:val="single" w:sz="6" w:space="0" w:color="000000"/>
              <w:right w:val="single" w:sz="6" w:space="0" w:color="000000"/>
            </w:tcBorders>
            <w:shd w:val="clear" w:color="auto" w:fill="F2F2F2"/>
            <w:hideMark/>
          </w:tcPr>
          <w:p w14:paraId="45FCC45E" w14:textId="77777777" w:rsidR="006F1DBF" w:rsidRPr="006F1DBF" w:rsidRDefault="006F1DBF" w:rsidP="006F1DBF">
            <w:pPr>
              <w:spacing w:after="0" w:line="240" w:lineRule="auto"/>
              <w:jc w:val="right"/>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kern w:val="0"/>
                <w:sz w:val="20"/>
                <w:szCs w:val="20"/>
                <w:lang w:eastAsia="nl-NL"/>
                <w14:ligatures w14:val="none"/>
              </w:rPr>
              <w:t>1 </w:t>
            </w:r>
          </w:p>
        </w:tc>
        <w:tc>
          <w:tcPr>
            <w:tcW w:w="4050" w:type="dxa"/>
            <w:tcBorders>
              <w:top w:val="single" w:sz="6" w:space="0" w:color="000000"/>
              <w:left w:val="single" w:sz="6" w:space="0" w:color="000000"/>
              <w:bottom w:val="single" w:sz="6" w:space="0" w:color="000000"/>
              <w:right w:val="single" w:sz="6" w:space="0" w:color="000000"/>
            </w:tcBorders>
            <w:shd w:val="clear" w:color="auto" w:fill="F2F2F2"/>
            <w:hideMark/>
          </w:tcPr>
          <w:p w14:paraId="0D06238B" w14:textId="77777777" w:rsidR="006F1DBF" w:rsidRPr="006F1DBF" w:rsidRDefault="006F1DBF" w:rsidP="006F1DBF">
            <w:pPr>
              <w:spacing w:after="0" w:line="240" w:lineRule="auto"/>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kern w:val="0"/>
                <w:sz w:val="20"/>
                <w:szCs w:val="20"/>
                <w:lang w:eastAsia="nl-NL"/>
                <w14:ligatures w14:val="none"/>
              </w:rPr>
              <w:t> </w:t>
            </w:r>
          </w:p>
        </w:tc>
      </w:tr>
      <w:tr w:rsidR="006F1DBF" w:rsidRPr="006F1DBF" w14:paraId="6F0980C9" w14:textId="77777777">
        <w:trPr>
          <w:trHeight w:val="270"/>
        </w:trPr>
        <w:tc>
          <w:tcPr>
            <w:tcW w:w="3195" w:type="dxa"/>
            <w:tcBorders>
              <w:top w:val="single" w:sz="6" w:space="0" w:color="000000"/>
              <w:left w:val="single" w:sz="6" w:space="0" w:color="000000"/>
              <w:bottom w:val="single" w:sz="6" w:space="0" w:color="000000"/>
              <w:right w:val="single" w:sz="6" w:space="0" w:color="000000"/>
            </w:tcBorders>
            <w:hideMark/>
          </w:tcPr>
          <w:p w14:paraId="4D551C2D" w14:textId="77777777" w:rsidR="006F1DBF" w:rsidRPr="006F1DBF" w:rsidRDefault="006F1DBF" w:rsidP="006F1DBF">
            <w:pPr>
              <w:spacing w:after="0" w:line="240" w:lineRule="auto"/>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color w:val="000000"/>
                <w:kern w:val="0"/>
                <w:lang w:eastAsia="nl-NL"/>
                <w14:ligatures w14:val="none"/>
              </w:rPr>
              <w:t>Klinisch - # Mate 7 </w:t>
            </w:r>
          </w:p>
        </w:tc>
        <w:tc>
          <w:tcPr>
            <w:tcW w:w="945" w:type="dxa"/>
            <w:tcBorders>
              <w:top w:val="single" w:sz="6" w:space="0" w:color="000000"/>
              <w:left w:val="single" w:sz="6" w:space="0" w:color="000000"/>
              <w:bottom w:val="single" w:sz="6" w:space="0" w:color="000000"/>
              <w:right w:val="single" w:sz="6" w:space="0" w:color="000000"/>
            </w:tcBorders>
            <w:hideMark/>
          </w:tcPr>
          <w:p w14:paraId="5526B653" w14:textId="77777777" w:rsidR="006F1DBF" w:rsidRPr="006F1DBF" w:rsidRDefault="006F1DBF" w:rsidP="006F1DBF">
            <w:pPr>
              <w:spacing w:after="0" w:line="240" w:lineRule="auto"/>
              <w:jc w:val="right"/>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kern w:val="0"/>
                <w:sz w:val="20"/>
                <w:szCs w:val="20"/>
                <w:lang w:eastAsia="nl-NL"/>
                <w14:ligatures w14:val="none"/>
              </w:rPr>
              <w:t>1 </w:t>
            </w:r>
          </w:p>
        </w:tc>
        <w:tc>
          <w:tcPr>
            <w:tcW w:w="4050" w:type="dxa"/>
            <w:tcBorders>
              <w:top w:val="single" w:sz="6" w:space="0" w:color="000000"/>
              <w:left w:val="single" w:sz="6" w:space="0" w:color="000000"/>
              <w:bottom w:val="single" w:sz="6" w:space="0" w:color="000000"/>
              <w:right w:val="single" w:sz="6" w:space="0" w:color="000000"/>
            </w:tcBorders>
            <w:hideMark/>
          </w:tcPr>
          <w:p w14:paraId="492D6F09" w14:textId="77777777" w:rsidR="006F1DBF" w:rsidRPr="006F1DBF" w:rsidRDefault="006F1DBF" w:rsidP="006F1DBF">
            <w:pPr>
              <w:spacing w:after="0" w:line="240" w:lineRule="auto"/>
              <w:jc w:val="right"/>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kern w:val="0"/>
                <w:sz w:val="20"/>
                <w:szCs w:val="20"/>
                <w:lang w:eastAsia="nl-NL"/>
                <w14:ligatures w14:val="none"/>
              </w:rPr>
              <w:t>100% </w:t>
            </w:r>
          </w:p>
        </w:tc>
      </w:tr>
    </w:tbl>
    <w:p w14:paraId="5A9E9B06" w14:textId="52FD182A" w:rsidR="006F1DBF" w:rsidRPr="006F1DBF" w:rsidRDefault="006F1DBF" w:rsidP="006F1DBF">
      <w:pPr>
        <w:spacing w:after="0" w:line="240" w:lineRule="auto"/>
        <w:textAlignment w:val="baseline"/>
        <w:rPr>
          <w:rFonts w:ascii="Segoe UI" w:eastAsia="Times New Roman" w:hAnsi="Segoe UI" w:cs="Segoe UI"/>
          <w:kern w:val="0"/>
          <w:sz w:val="18"/>
          <w:szCs w:val="18"/>
          <w:lang w:eastAsia="nl-NL"/>
          <w14:ligatures w14:val="none"/>
        </w:rPr>
      </w:pPr>
      <w:r w:rsidRPr="006F1DBF">
        <w:rPr>
          <w:rFonts w:ascii="Calibri" w:eastAsia="Times New Roman" w:hAnsi="Calibri" w:cs="Calibri"/>
          <w:i/>
          <w:iCs/>
          <w:kern w:val="0"/>
          <w:sz w:val="20"/>
          <w:szCs w:val="20"/>
          <w:lang w:eastAsia="nl-NL"/>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5"/>
        <w:gridCol w:w="945"/>
        <w:gridCol w:w="4050"/>
      </w:tblGrid>
      <w:tr w:rsidR="006F1DBF" w:rsidRPr="006F1DBF" w14:paraId="59A16EC5" w14:textId="77777777">
        <w:trPr>
          <w:trHeight w:val="270"/>
        </w:trPr>
        <w:tc>
          <w:tcPr>
            <w:tcW w:w="3195" w:type="dxa"/>
            <w:tcBorders>
              <w:top w:val="single" w:sz="6" w:space="0" w:color="000000"/>
              <w:left w:val="single" w:sz="6" w:space="0" w:color="000000"/>
              <w:bottom w:val="single" w:sz="6" w:space="0" w:color="000000"/>
              <w:right w:val="single" w:sz="6" w:space="0" w:color="000000"/>
            </w:tcBorders>
            <w:hideMark/>
          </w:tcPr>
          <w:p w14:paraId="11AE26B3" w14:textId="77777777" w:rsidR="006F1DBF" w:rsidRPr="006F1DBF" w:rsidRDefault="006F1DBF" w:rsidP="006F1DBF">
            <w:pPr>
              <w:spacing w:after="0" w:line="240" w:lineRule="auto"/>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b/>
                <w:bCs/>
                <w:color w:val="000000"/>
                <w:kern w:val="0"/>
                <w:lang w:eastAsia="nl-NL"/>
                <w14:ligatures w14:val="none"/>
              </w:rPr>
              <w:t>Indicator 3 – De Brug</w:t>
            </w:r>
            <w:r w:rsidRPr="006F1DBF">
              <w:rPr>
                <w:rFonts w:ascii="Calibri" w:eastAsia="Times New Roman" w:hAnsi="Calibri" w:cs="Calibri"/>
                <w:color w:val="000000"/>
                <w:kern w:val="0"/>
                <w:lang w:eastAsia="nl-NL"/>
                <w14:ligatures w14:val="none"/>
              </w:rPr>
              <w:t> </w:t>
            </w:r>
          </w:p>
        </w:tc>
        <w:tc>
          <w:tcPr>
            <w:tcW w:w="945" w:type="dxa"/>
            <w:tcBorders>
              <w:top w:val="single" w:sz="6" w:space="0" w:color="000000"/>
              <w:left w:val="single" w:sz="6" w:space="0" w:color="000000"/>
              <w:bottom w:val="single" w:sz="6" w:space="0" w:color="000000"/>
              <w:right w:val="single" w:sz="6" w:space="0" w:color="000000"/>
            </w:tcBorders>
            <w:hideMark/>
          </w:tcPr>
          <w:p w14:paraId="610F5B9F" w14:textId="77777777" w:rsidR="006F1DBF" w:rsidRPr="006F1DBF" w:rsidRDefault="006F1DBF" w:rsidP="006F1DBF">
            <w:pPr>
              <w:spacing w:after="0" w:line="240" w:lineRule="auto"/>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b/>
                <w:bCs/>
                <w:color w:val="000000"/>
                <w:kern w:val="0"/>
                <w:lang w:eastAsia="nl-NL"/>
                <w14:ligatures w14:val="none"/>
              </w:rPr>
              <w:t>Aantal</w:t>
            </w:r>
            <w:r w:rsidRPr="006F1DBF">
              <w:rPr>
                <w:rFonts w:ascii="Calibri" w:eastAsia="Times New Roman" w:hAnsi="Calibri" w:cs="Calibri"/>
                <w:color w:val="000000"/>
                <w:kern w:val="0"/>
                <w:lang w:eastAsia="nl-NL"/>
                <w14:ligatures w14:val="none"/>
              </w:rPr>
              <w:t> </w:t>
            </w:r>
          </w:p>
        </w:tc>
        <w:tc>
          <w:tcPr>
            <w:tcW w:w="4050" w:type="dxa"/>
            <w:tcBorders>
              <w:top w:val="single" w:sz="6" w:space="0" w:color="000000"/>
              <w:left w:val="single" w:sz="6" w:space="0" w:color="000000"/>
              <w:bottom w:val="single" w:sz="6" w:space="0" w:color="000000"/>
              <w:right w:val="single" w:sz="6" w:space="0" w:color="000000"/>
            </w:tcBorders>
            <w:hideMark/>
          </w:tcPr>
          <w:p w14:paraId="253ABE40" w14:textId="77777777" w:rsidR="006F1DBF" w:rsidRPr="006F1DBF" w:rsidRDefault="006F1DBF" w:rsidP="006F1DBF">
            <w:pPr>
              <w:spacing w:after="0" w:line="240" w:lineRule="auto"/>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b/>
                <w:bCs/>
                <w:color w:val="000000"/>
                <w:kern w:val="0"/>
                <w:lang w:eastAsia="nl-NL"/>
                <w14:ligatures w14:val="none"/>
              </w:rPr>
              <w:t>Percentage geldige metingen</w:t>
            </w:r>
            <w:r w:rsidRPr="006F1DBF">
              <w:rPr>
                <w:rFonts w:ascii="Calibri" w:eastAsia="Times New Roman" w:hAnsi="Calibri" w:cs="Calibri"/>
                <w:color w:val="000000"/>
                <w:kern w:val="0"/>
                <w:lang w:eastAsia="nl-NL"/>
                <w14:ligatures w14:val="none"/>
              </w:rPr>
              <w:t> </w:t>
            </w:r>
          </w:p>
        </w:tc>
      </w:tr>
      <w:tr w:rsidR="006F1DBF" w:rsidRPr="006F1DBF" w14:paraId="7AB36783" w14:textId="77777777">
        <w:trPr>
          <w:trHeight w:val="270"/>
        </w:trPr>
        <w:tc>
          <w:tcPr>
            <w:tcW w:w="3195" w:type="dxa"/>
            <w:tcBorders>
              <w:top w:val="single" w:sz="6" w:space="0" w:color="000000"/>
              <w:left w:val="single" w:sz="6" w:space="0" w:color="000000"/>
              <w:bottom w:val="single" w:sz="6" w:space="0" w:color="000000"/>
              <w:right w:val="single" w:sz="6" w:space="0" w:color="000000"/>
            </w:tcBorders>
            <w:shd w:val="clear" w:color="auto" w:fill="F2F2F2"/>
            <w:hideMark/>
          </w:tcPr>
          <w:p w14:paraId="21236D62" w14:textId="77777777" w:rsidR="006F1DBF" w:rsidRPr="006F1DBF" w:rsidRDefault="006F1DBF" w:rsidP="006F1DBF">
            <w:pPr>
              <w:spacing w:after="0" w:line="240" w:lineRule="auto"/>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color w:val="000000"/>
                <w:kern w:val="0"/>
                <w:lang w:eastAsia="nl-NL"/>
                <w14:ligatures w14:val="none"/>
              </w:rPr>
              <w:t>Ambulant - # cliënten in zorg </w:t>
            </w:r>
          </w:p>
        </w:tc>
        <w:tc>
          <w:tcPr>
            <w:tcW w:w="945" w:type="dxa"/>
            <w:tcBorders>
              <w:top w:val="single" w:sz="6" w:space="0" w:color="000000"/>
              <w:left w:val="single" w:sz="6" w:space="0" w:color="000000"/>
              <w:bottom w:val="single" w:sz="6" w:space="0" w:color="000000"/>
              <w:right w:val="single" w:sz="6" w:space="0" w:color="000000"/>
            </w:tcBorders>
            <w:shd w:val="clear" w:color="auto" w:fill="F2F2F2"/>
            <w:hideMark/>
          </w:tcPr>
          <w:p w14:paraId="67281F11" w14:textId="77777777" w:rsidR="006F1DBF" w:rsidRPr="006F1DBF" w:rsidRDefault="006F1DBF" w:rsidP="006F1DBF">
            <w:pPr>
              <w:spacing w:after="0" w:line="240" w:lineRule="auto"/>
              <w:jc w:val="right"/>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kern w:val="0"/>
                <w:sz w:val="20"/>
                <w:szCs w:val="20"/>
                <w:lang w:eastAsia="nl-NL"/>
                <w14:ligatures w14:val="none"/>
              </w:rPr>
              <w:t>1 </w:t>
            </w:r>
          </w:p>
        </w:tc>
        <w:tc>
          <w:tcPr>
            <w:tcW w:w="4050" w:type="dxa"/>
            <w:tcBorders>
              <w:top w:val="single" w:sz="6" w:space="0" w:color="000000"/>
              <w:left w:val="single" w:sz="6" w:space="0" w:color="000000"/>
              <w:bottom w:val="single" w:sz="6" w:space="0" w:color="000000"/>
              <w:right w:val="single" w:sz="6" w:space="0" w:color="000000"/>
            </w:tcBorders>
            <w:shd w:val="clear" w:color="auto" w:fill="F2F2F2"/>
            <w:hideMark/>
          </w:tcPr>
          <w:p w14:paraId="093CC08C" w14:textId="77777777" w:rsidR="006F1DBF" w:rsidRPr="006F1DBF" w:rsidRDefault="006F1DBF" w:rsidP="006F1DBF">
            <w:pPr>
              <w:spacing w:after="0" w:line="240" w:lineRule="auto"/>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kern w:val="0"/>
                <w:sz w:val="20"/>
                <w:szCs w:val="20"/>
                <w:lang w:eastAsia="nl-NL"/>
                <w14:ligatures w14:val="none"/>
              </w:rPr>
              <w:t> </w:t>
            </w:r>
          </w:p>
        </w:tc>
      </w:tr>
      <w:tr w:rsidR="006F1DBF" w:rsidRPr="006F1DBF" w14:paraId="170FD860" w14:textId="77777777">
        <w:trPr>
          <w:trHeight w:val="270"/>
        </w:trPr>
        <w:tc>
          <w:tcPr>
            <w:tcW w:w="3195" w:type="dxa"/>
            <w:tcBorders>
              <w:top w:val="single" w:sz="6" w:space="0" w:color="000000"/>
              <w:left w:val="single" w:sz="6" w:space="0" w:color="000000"/>
              <w:bottom w:val="single" w:sz="6" w:space="0" w:color="000000"/>
              <w:right w:val="single" w:sz="6" w:space="0" w:color="000000"/>
            </w:tcBorders>
            <w:hideMark/>
          </w:tcPr>
          <w:p w14:paraId="4F9716AF" w14:textId="77777777" w:rsidR="006F1DBF" w:rsidRPr="006F1DBF" w:rsidRDefault="006F1DBF" w:rsidP="006F1DBF">
            <w:pPr>
              <w:spacing w:after="0" w:line="240" w:lineRule="auto"/>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color w:val="000000"/>
                <w:kern w:val="0"/>
                <w:lang w:eastAsia="nl-NL"/>
                <w14:ligatures w14:val="none"/>
              </w:rPr>
              <w:t>Ambulant - # Mate 7 </w:t>
            </w:r>
          </w:p>
        </w:tc>
        <w:tc>
          <w:tcPr>
            <w:tcW w:w="945" w:type="dxa"/>
            <w:tcBorders>
              <w:top w:val="single" w:sz="6" w:space="0" w:color="000000"/>
              <w:left w:val="single" w:sz="6" w:space="0" w:color="000000"/>
              <w:bottom w:val="single" w:sz="6" w:space="0" w:color="000000"/>
              <w:right w:val="single" w:sz="6" w:space="0" w:color="000000"/>
            </w:tcBorders>
            <w:hideMark/>
          </w:tcPr>
          <w:p w14:paraId="724E086B" w14:textId="77777777" w:rsidR="006F1DBF" w:rsidRPr="006F1DBF" w:rsidRDefault="006F1DBF" w:rsidP="006F1DBF">
            <w:pPr>
              <w:spacing w:after="0" w:line="240" w:lineRule="auto"/>
              <w:jc w:val="right"/>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kern w:val="0"/>
                <w:sz w:val="20"/>
                <w:szCs w:val="20"/>
                <w:lang w:eastAsia="nl-NL"/>
                <w14:ligatures w14:val="none"/>
              </w:rPr>
              <w:t>1 </w:t>
            </w:r>
          </w:p>
        </w:tc>
        <w:tc>
          <w:tcPr>
            <w:tcW w:w="4050" w:type="dxa"/>
            <w:tcBorders>
              <w:top w:val="single" w:sz="6" w:space="0" w:color="000000"/>
              <w:left w:val="single" w:sz="6" w:space="0" w:color="000000"/>
              <w:bottom w:val="single" w:sz="6" w:space="0" w:color="000000"/>
              <w:right w:val="single" w:sz="6" w:space="0" w:color="000000"/>
            </w:tcBorders>
            <w:hideMark/>
          </w:tcPr>
          <w:p w14:paraId="36A5F0B3" w14:textId="77777777" w:rsidR="006F1DBF" w:rsidRPr="006F1DBF" w:rsidRDefault="006F1DBF" w:rsidP="006F1DBF">
            <w:pPr>
              <w:spacing w:after="0" w:line="240" w:lineRule="auto"/>
              <w:jc w:val="right"/>
              <w:textAlignment w:val="baseline"/>
              <w:rPr>
                <w:rFonts w:ascii="Times New Roman" w:eastAsia="Times New Roman" w:hAnsi="Times New Roman" w:cs="Times New Roman"/>
                <w:kern w:val="0"/>
                <w:sz w:val="24"/>
                <w:szCs w:val="24"/>
                <w:lang w:eastAsia="nl-NL"/>
                <w14:ligatures w14:val="none"/>
              </w:rPr>
            </w:pPr>
            <w:r w:rsidRPr="006F1DBF">
              <w:rPr>
                <w:rFonts w:ascii="Calibri" w:eastAsia="Times New Roman" w:hAnsi="Calibri" w:cs="Calibri"/>
                <w:kern w:val="0"/>
                <w:sz w:val="20"/>
                <w:szCs w:val="20"/>
                <w:lang w:eastAsia="nl-NL"/>
                <w14:ligatures w14:val="none"/>
              </w:rPr>
              <w:t>100% </w:t>
            </w:r>
          </w:p>
        </w:tc>
      </w:tr>
    </w:tbl>
    <w:p w14:paraId="2566FEBF" w14:textId="77777777" w:rsidR="006F1DBF" w:rsidRDefault="006F1DBF" w:rsidP="006F1DBF">
      <w:pPr>
        <w:rPr>
          <w:rFonts w:asciiTheme="minorHAnsi" w:hAnsiTheme="minorHAnsi" w:cstheme="minorHAnsi"/>
        </w:rPr>
      </w:pPr>
    </w:p>
    <w:p w14:paraId="4F13E26F" w14:textId="68B4EB8E" w:rsidR="00377E25" w:rsidRPr="0018561E" w:rsidRDefault="006F1DBF" w:rsidP="0018561E">
      <w:pPr>
        <w:rPr>
          <w:rFonts w:asciiTheme="minorHAnsi" w:hAnsiTheme="minorHAnsi" w:cstheme="minorHAnsi"/>
        </w:rPr>
      </w:pPr>
      <w:r w:rsidRPr="006F1DBF">
        <w:rPr>
          <w:rFonts w:asciiTheme="minorHAnsi" w:hAnsiTheme="minorHAnsi" w:cstheme="minorHAnsi"/>
        </w:rPr>
        <w:t>Voor deze indicator is een percentage van 60% in zowel de klinische als ambulante setting de norm. Uit bovenstaande resultaten blijkt dat we voor de klinische cliënt bij De Hoop en voor de ambulante cliënt bij De Brug op de peildatum van 31 december 2025 een geldige Mate 7 meting hadden, voor de ambulante cliënten scoren we binnen De Hoop met 38% onder de norm. In 2026 zullen we het belang van het gebruik van de Mate 7 opnieuw onder de aandacht brengen bij medewerkers die forensische cliënten behandelen. </w:t>
      </w:r>
    </w:p>
    <w:sectPr w:rsidR="00377E25" w:rsidRPr="0018561E" w:rsidSect="0018561E">
      <w:headerReference w:type="default" r:id="rId15"/>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7E4FD" w14:textId="77777777" w:rsidR="002D1ACD" w:rsidRDefault="002D1ACD" w:rsidP="0018561E">
      <w:pPr>
        <w:spacing w:after="0" w:line="240" w:lineRule="auto"/>
      </w:pPr>
      <w:r>
        <w:separator/>
      </w:r>
    </w:p>
  </w:endnote>
  <w:endnote w:type="continuationSeparator" w:id="0">
    <w:p w14:paraId="714EF536" w14:textId="77777777" w:rsidR="002D1ACD" w:rsidRDefault="002D1ACD" w:rsidP="00185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95737"/>
      <w:docPartObj>
        <w:docPartGallery w:val="Page Numbers (Bottom of Page)"/>
        <w:docPartUnique/>
      </w:docPartObj>
    </w:sdtPr>
    <w:sdtContent>
      <w:p w14:paraId="2486B51B" w14:textId="27304EA6" w:rsidR="0018561E" w:rsidRDefault="0018561E">
        <w:pPr>
          <w:pStyle w:val="Voettekst"/>
          <w:jc w:val="right"/>
        </w:pPr>
        <w:r>
          <w:fldChar w:fldCharType="begin"/>
        </w:r>
        <w:r>
          <w:instrText>PAGE   \* MERGEFORMAT</w:instrText>
        </w:r>
        <w:r>
          <w:fldChar w:fldCharType="separate"/>
        </w:r>
        <w:r>
          <w:t>2</w:t>
        </w:r>
        <w:r>
          <w:fldChar w:fldCharType="end"/>
        </w:r>
      </w:p>
    </w:sdtContent>
  </w:sdt>
  <w:p w14:paraId="5A96E9A6" w14:textId="77777777" w:rsidR="0018561E" w:rsidRDefault="001856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1E890" w14:textId="77777777" w:rsidR="002D1ACD" w:rsidRDefault="002D1ACD" w:rsidP="0018561E">
      <w:pPr>
        <w:spacing w:after="0" w:line="240" w:lineRule="auto"/>
      </w:pPr>
      <w:r>
        <w:separator/>
      </w:r>
    </w:p>
  </w:footnote>
  <w:footnote w:type="continuationSeparator" w:id="0">
    <w:p w14:paraId="7EAE7822" w14:textId="77777777" w:rsidR="002D1ACD" w:rsidRDefault="002D1ACD" w:rsidP="00185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461F" w14:textId="0294C736" w:rsidR="0018561E" w:rsidRPr="0018561E" w:rsidRDefault="0018561E" w:rsidP="0018561E">
    <w:pPr>
      <w:pStyle w:val="Koptekst"/>
      <w:jc w:val="center"/>
      <w:rPr>
        <w:rFonts w:asciiTheme="minorHAnsi" w:hAnsiTheme="minorHAnsi" w:cstheme="minorHAnsi"/>
      </w:rPr>
    </w:pPr>
    <w:r w:rsidRPr="0018561E">
      <w:rPr>
        <w:rFonts w:asciiTheme="minorHAnsi" w:hAnsiTheme="minorHAnsi" w:cstheme="minorHAnsi"/>
      </w:rPr>
      <w:t>Kwaliteitsjaarverslag Forensische Zorg 2025</w:t>
    </w:r>
  </w:p>
  <w:p w14:paraId="2E1E4DC7" w14:textId="77777777" w:rsidR="0018561E" w:rsidRDefault="0018561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09C3"/>
    <w:multiLevelType w:val="multilevel"/>
    <w:tmpl w:val="6EB69BF8"/>
    <w:lvl w:ilvl="0">
      <w:start w:val="1"/>
      <w:numFmt w:val="decimal"/>
      <w:lvlText w:val="%1."/>
      <w:lvlJc w:val="left"/>
      <w:pPr>
        <w:tabs>
          <w:tab w:val="num" w:pos="720"/>
        </w:tabs>
        <w:ind w:left="720" w:hanging="360"/>
      </w:pPr>
    </w:lvl>
    <w:lvl w:ilvl="1">
      <w:start w:val="2"/>
      <w:numFmt w:val="decimal"/>
      <w:lvlText w:val="%2"/>
      <w:lvlJc w:val="left"/>
      <w:pPr>
        <w:ind w:left="1440" w:hanging="360"/>
      </w:pPr>
      <w:rPr>
        <w:rFonts w:ascii="Calibri" w:hAnsi="Calibri" w:cs="Calibri" w:hint="default"/>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3561F2"/>
    <w:multiLevelType w:val="hybridMultilevel"/>
    <w:tmpl w:val="4EE4F136"/>
    <w:lvl w:ilvl="0" w:tplc="271268B4">
      <w:start w:val="1"/>
      <w:numFmt w:val="decimal"/>
      <w:lvlText w:val="%1"/>
      <w:lvlJc w:val="left"/>
      <w:pPr>
        <w:ind w:left="720" w:hanging="360"/>
      </w:pPr>
      <w:rPr>
        <w:rFonts w:ascii="Calibri" w:hAnsi="Calibri" w:cs="Calibr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1A65D62"/>
    <w:multiLevelType w:val="hybridMultilevel"/>
    <w:tmpl w:val="5090F310"/>
    <w:lvl w:ilvl="0" w:tplc="630AFAF0">
      <w:start w:val="3"/>
      <w:numFmt w:val="decimal"/>
      <w:lvlText w:val="%1"/>
      <w:lvlJc w:val="left"/>
      <w:pPr>
        <w:ind w:left="720" w:hanging="360"/>
      </w:pPr>
      <w:rPr>
        <w:rFonts w:ascii="Calibri" w:hAnsi="Calibri" w:cs="Calibr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FC64605"/>
    <w:multiLevelType w:val="hybridMultilevel"/>
    <w:tmpl w:val="732CFA50"/>
    <w:lvl w:ilvl="0" w:tplc="FC26C8F8">
      <w:start w:val="1"/>
      <w:numFmt w:val="decimal"/>
      <w:lvlText w:val="%1"/>
      <w:lvlJc w:val="left"/>
      <w:pPr>
        <w:ind w:left="720" w:hanging="360"/>
      </w:pPr>
      <w:rPr>
        <w:rFonts w:ascii="Calibri" w:hAnsi="Calibri" w:cs="Calibr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1534FE7"/>
    <w:multiLevelType w:val="hybridMultilevel"/>
    <w:tmpl w:val="BA1092B2"/>
    <w:lvl w:ilvl="0" w:tplc="7C0411EA">
      <w:start w:val="2"/>
      <w:numFmt w:val="decimal"/>
      <w:lvlText w:val="%1"/>
      <w:lvlJc w:val="left"/>
      <w:pPr>
        <w:ind w:left="720" w:hanging="360"/>
      </w:pPr>
      <w:rPr>
        <w:rFonts w:ascii="Calibri" w:hAnsi="Calibri" w:cs="Calibr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3076F05"/>
    <w:multiLevelType w:val="hybridMultilevel"/>
    <w:tmpl w:val="920A1E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A99600B"/>
    <w:multiLevelType w:val="multilevel"/>
    <w:tmpl w:val="3B34C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8836CB"/>
    <w:multiLevelType w:val="hybridMultilevel"/>
    <w:tmpl w:val="061CBB2C"/>
    <w:lvl w:ilvl="0" w:tplc="7F80B750">
      <w:start w:val="4"/>
      <w:numFmt w:val="decimal"/>
      <w:lvlText w:val="%1"/>
      <w:lvlJc w:val="left"/>
      <w:pPr>
        <w:ind w:left="720" w:hanging="360"/>
      </w:pPr>
      <w:rPr>
        <w:rFonts w:ascii="Calibri" w:hAnsi="Calibri" w:cs="Calibr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94995200">
    <w:abstractNumId w:val="0"/>
  </w:num>
  <w:num w:numId="2" w16cid:durableId="196771794">
    <w:abstractNumId w:val="6"/>
  </w:num>
  <w:num w:numId="3" w16cid:durableId="1693453123">
    <w:abstractNumId w:val="5"/>
  </w:num>
  <w:num w:numId="4" w16cid:durableId="1164315507">
    <w:abstractNumId w:val="3"/>
  </w:num>
  <w:num w:numId="5" w16cid:durableId="521284741">
    <w:abstractNumId w:val="1"/>
  </w:num>
  <w:num w:numId="6" w16cid:durableId="1674914943">
    <w:abstractNumId w:val="4"/>
  </w:num>
  <w:num w:numId="7" w16cid:durableId="1621567748">
    <w:abstractNumId w:val="2"/>
  </w:num>
  <w:num w:numId="8" w16cid:durableId="145825455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C2C"/>
    <w:rsid w:val="000B2C43"/>
    <w:rsid w:val="00146491"/>
    <w:rsid w:val="0015056F"/>
    <w:rsid w:val="0018561E"/>
    <w:rsid w:val="002D1ACD"/>
    <w:rsid w:val="002E584A"/>
    <w:rsid w:val="00301164"/>
    <w:rsid w:val="00324E4F"/>
    <w:rsid w:val="00377E25"/>
    <w:rsid w:val="00572195"/>
    <w:rsid w:val="006B041C"/>
    <w:rsid w:val="006F1DBF"/>
    <w:rsid w:val="0078291B"/>
    <w:rsid w:val="007B43F4"/>
    <w:rsid w:val="008A3F66"/>
    <w:rsid w:val="008F1B67"/>
    <w:rsid w:val="0092398E"/>
    <w:rsid w:val="00930ECE"/>
    <w:rsid w:val="0099633D"/>
    <w:rsid w:val="009A153E"/>
    <w:rsid w:val="00BB4FB3"/>
    <w:rsid w:val="00C731BB"/>
    <w:rsid w:val="00CA7E61"/>
    <w:rsid w:val="00CE0D6F"/>
    <w:rsid w:val="00D66A78"/>
    <w:rsid w:val="00D92BF5"/>
    <w:rsid w:val="00DF03DE"/>
    <w:rsid w:val="00E33D16"/>
    <w:rsid w:val="00E47130"/>
    <w:rsid w:val="00F51BB7"/>
    <w:rsid w:val="00FB0C2C"/>
    <w:rsid w:val="00FC32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C7708"/>
  <w15:chartTrackingRefBased/>
  <w15:docId w15:val="{05B8421B-D365-42BE-94B4-A85E200C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041C"/>
    <w:rPr>
      <w:rFonts w:ascii="Arial" w:hAnsi="Arial"/>
    </w:rPr>
  </w:style>
  <w:style w:type="paragraph" w:styleId="Kop1">
    <w:name w:val="heading 1"/>
    <w:basedOn w:val="Standaard"/>
    <w:next w:val="Standaard"/>
    <w:link w:val="Kop1Char"/>
    <w:uiPriority w:val="9"/>
    <w:qFormat/>
    <w:rsid w:val="006B041C"/>
    <w:pPr>
      <w:keepNext/>
      <w:keepLines/>
      <w:spacing w:before="240" w:after="0"/>
      <w:outlineLvl w:val="0"/>
    </w:pPr>
    <w:rPr>
      <w:rFonts w:eastAsiaTheme="majorEastAsia" w:cstheme="majorBidi"/>
      <w:color w:val="006271"/>
      <w:sz w:val="32"/>
      <w:szCs w:val="32"/>
    </w:rPr>
  </w:style>
  <w:style w:type="paragraph" w:styleId="Kop2">
    <w:name w:val="heading 2"/>
    <w:basedOn w:val="Standaard"/>
    <w:next w:val="Standaard"/>
    <w:link w:val="Kop2Char"/>
    <w:uiPriority w:val="9"/>
    <w:unhideWhenUsed/>
    <w:qFormat/>
    <w:rsid w:val="006B041C"/>
    <w:pPr>
      <w:keepNext/>
      <w:keepLines/>
      <w:spacing w:before="40" w:after="0"/>
      <w:outlineLvl w:val="1"/>
    </w:pPr>
    <w:rPr>
      <w:rFonts w:eastAsiaTheme="majorEastAsia" w:cstheme="majorBidi"/>
      <w:b/>
      <w:color w:val="006271"/>
      <w:sz w:val="24"/>
      <w:szCs w:val="26"/>
    </w:rPr>
  </w:style>
  <w:style w:type="paragraph" w:styleId="Kop3">
    <w:name w:val="heading 3"/>
    <w:basedOn w:val="Standaard"/>
    <w:next w:val="Standaard"/>
    <w:link w:val="Kop3Char"/>
    <w:uiPriority w:val="9"/>
    <w:unhideWhenUsed/>
    <w:rsid w:val="006B04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semiHidden/>
    <w:unhideWhenUsed/>
    <w:rsid w:val="00FB0C2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FB0C2C"/>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FB0C2C"/>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FB0C2C"/>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FB0C2C"/>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FB0C2C"/>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041C"/>
    <w:rPr>
      <w:rFonts w:ascii="Arial" w:eastAsiaTheme="majorEastAsia" w:hAnsi="Arial" w:cstheme="majorBidi"/>
      <w:color w:val="006271"/>
      <w:sz w:val="32"/>
      <w:szCs w:val="32"/>
    </w:rPr>
  </w:style>
  <w:style w:type="character" w:customStyle="1" w:styleId="Kop2Char">
    <w:name w:val="Kop 2 Char"/>
    <w:basedOn w:val="Standaardalinea-lettertype"/>
    <w:link w:val="Kop2"/>
    <w:uiPriority w:val="9"/>
    <w:rsid w:val="006B041C"/>
    <w:rPr>
      <w:rFonts w:ascii="Arial" w:eastAsiaTheme="majorEastAsia" w:hAnsi="Arial" w:cstheme="majorBidi"/>
      <w:b/>
      <w:color w:val="006271"/>
      <w:sz w:val="24"/>
      <w:szCs w:val="26"/>
    </w:rPr>
  </w:style>
  <w:style w:type="character" w:customStyle="1" w:styleId="Kop3Char">
    <w:name w:val="Kop 3 Char"/>
    <w:basedOn w:val="Standaardalinea-lettertype"/>
    <w:link w:val="Kop3"/>
    <w:uiPriority w:val="9"/>
    <w:rsid w:val="006B041C"/>
    <w:rPr>
      <w:rFonts w:asciiTheme="majorHAnsi" w:eastAsiaTheme="majorEastAsia" w:hAnsiTheme="majorHAnsi" w:cstheme="majorBidi"/>
      <w:color w:val="1F4D78" w:themeColor="accent1" w:themeShade="7F"/>
      <w:sz w:val="24"/>
      <w:szCs w:val="24"/>
    </w:rPr>
  </w:style>
  <w:style w:type="paragraph" w:styleId="Titel">
    <w:name w:val="Title"/>
    <w:basedOn w:val="Standaard"/>
    <w:next w:val="Standaard"/>
    <w:link w:val="TitelChar"/>
    <w:uiPriority w:val="10"/>
    <w:qFormat/>
    <w:rsid w:val="006B041C"/>
    <w:pPr>
      <w:spacing w:after="0" w:line="240" w:lineRule="auto"/>
      <w:contextualSpacing/>
    </w:pPr>
    <w:rPr>
      <w:rFonts w:eastAsiaTheme="majorEastAsia" w:cstheme="majorBidi"/>
      <w:color w:val="67C0B7"/>
      <w:spacing w:val="-10"/>
      <w:kern w:val="28"/>
      <w:sz w:val="56"/>
      <w:szCs w:val="56"/>
    </w:rPr>
  </w:style>
  <w:style w:type="character" w:customStyle="1" w:styleId="TitelChar">
    <w:name w:val="Titel Char"/>
    <w:basedOn w:val="Standaardalinea-lettertype"/>
    <w:link w:val="Titel"/>
    <w:uiPriority w:val="10"/>
    <w:rsid w:val="006B041C"/>
    <w:rPr>
      <w:rFonts w:ascii="Arial" w:eastAsiaTheme="majorEastAsia" w:hAnsi="Arial" w:cstheme="majorBidi"/>
      <w:color w:val="67C0B7"/>
      <w:spacing w:val="-10"/>
      <w:kern w:val="28"/>
      <w:sz w:val="56"/>
      <w:szCs w:val="56"/>
    </w:rPr>
  </w:style>
  <w:style w:type="character" w:styleId="Subtielebenadrukking">
    <w:name w:val="Subtle Emphasis"/>
    <w:basedOn w:val="Standaardalinea-lettertype"/>
    <w:uiPriority w:val="19"/>
    <w:qFormat/>
    <w:rsid w:val="006B041C"/>
    <w:rPr>
      <w:rFonts w:ascii="Cambria" w:hAnsi="Cambria"/>
      <w:i w:val="0"/>
      <w:iCs/>
      <w:color w:val="404040" w:themeColor="text1" w:themeTint="BF"/>
      <w:sz w:val="22"/>
    </w:rPr>
  </w:style>
  <w:style w:type="character" w:styleId="Nadruk">
    <w:name w:val="Emphasis"/>
    <w:basedOn w:val="Standaardalinea-lettertype"/>
    <w:uiPriority w:val="20"/>
    <w:qFormat/>
    <w:rsid w:val="006B041C"/>
    <w:rPr>
      <w:rFonts w:ascii="Cambria" w:hAnsi="Cambria"/>
      <w:i w:val="0"/>
      <w:iCs/>
      <w:color w:val="FDC300"/>
      <w:sz w:val="22"/>
    </w:rPr>
  </w:style>
  <w:style w:type="character" w:customStyle="1" w:styleId="Kop4Char">
    <w:name w:val="Kop 4 Char"/>
    <w:basedOn w:val="Standaardalinea-lettertype"/>
    <w:link w:val="Kop4"/>
    <w:uiPriority w:val="9"/>
    <w:semiHidden/>
    <w:rsid w:val="00FB0C2C"/>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FB0C2C"/>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FB0C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0C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0C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0C2C"/>
    <w:rPr>
      <w:rFonts w:eastAsiaTheme="majorEastAsia" w:cstheme="majorBidi"/>
      <w:color w:val="272727" w:themeColor="text1" w:themeTint="D8"/>
    </w:rPr>
  </w:style>
  <w:style w:type="paragraph" w:styleId="Ondertitel">
    <w:name w:val="Subtitle"/>
    <w:basedOn w:val="Standaard"/>
    <w:next w:val="Standaard"/>
    <w:link w:val="OndertitelChar"/>
    <w:uiPriority w:val="11"/>
    <w:rsid w:val="00FB0C2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0C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rsid w:val="00FB0C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0C2C"/>
    <w:rPr>
      <w:rFonts w:ascii="Arial" w:hAnsi="Arial"/>
      <w:i/>
      <w:iCs/>
      <w:color w:val="404040" w:themeColor="text1" w:themeTint="BF"/>
    </w:rPr>
  </w:style>
  <w:style w:type="paragraph" w:styleId="Lijstalinea">
    <w:name w:val="List Paragraph"/>
    <w:basedOn w:val="Standaard"/>
    <w:uiPriority w:val="34"/>
    <w:rsid w:val="00FB0C2C"/>
    <w:pPr>
      <w:ind w:left="720"/>
      <w:contextualSpacing/>
    </w:pPr>
  </w:style>
  <w:style w:type="character" w:styleId="Intensievebenadrukking">
    <w:name w:val="Intense Emphasis"/>
    <w:basedOn w:val="Standaardalinea-lettertype"/>
    <w:uiPriority w:val="21"/>
    <w:rsid w:val="00FB0C2C"/>
    <w:rPr>
      <w:i/>
      <w:iCs/>
      <w:color w:val="2E74B5" w:themeColor="accent1" w:themeShade="BF"/>
    </w:rPr>
  </w:style>
  <w:style w:type="paragraph" w:styleId="Duidelijkcitaat">
    <w:name w:val="Intense Quote"/>
    <w:basedOn w:val="Standaard"/>
    <w:next w:val="Standaard"/>
    <w:link w:val="DuidelijkcitaatChar"/>
    <w:uiPriority w:val="30"/>
    <w:rsid w:val="00FB0C2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FB0C2C"/>
    <w:rPr>
      <w:rFonts w:ascii="Arial" w:hAnsi="Arial"/>
      <w:i/>
      <w:iCs/>
      <w:color w:val="2E74B5" w:themeColor="accent1" w:themeShade="BF"/>
    </w:rPr>
  </w:style>
  <w:style w:type="character" w:styleId="Intensieveverwijzing">
    <w:name w:val="Intense Reference"/>
    <w:basedOn w:val="Standaardalinea-lettertype"/>
    <w:uiPriority w:val="32"/>
    <w:rsid w:val="00FB0C2C"/>
    <w:rPr>
      <w:b/>
      <w:bCs/>
      <w:smallCaps/>
      <w:color w:val="2E74B5" w:themeColor="accent1" w:themeShade="BF"/>
      <w:spacing w:val="5"/>
    </w:rPr>
  </w:style>
  <w:style w:type="paragraph" w:styleId="Koptekst">
    <w:name w:val="header"/>
    <w:basedOn w:val="Standaard"/>
    <w:link w:val="KoptekstChar"/>
    <w:uiPriority w:val="99"/>
    <w:unhideWhenUsed/>
    <w:rsid w:val="001856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561E"/>
    <w:rPr>
      <w:rFonts w:ascii="Arial" w:hAnsi="Arial"/>
    </w:rPr>
  </w:style>
  <w:style w:type="paragraph" w:styleId="Voettekst">
    <w:name w:val="footer"/>
    <w:basedOn w:val="Standaard"/>
    <w:link w:val="VoettekstChar"/>
    <w:uiPriority w:val="99"/>
    <w:unhideWhenUsed/>
    <w:rsid w:val="001856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561E"/>
    <w:rPr>
      <w:rFonts w:ascii="Arial" w:hAnsi="Arial"/>
    </w:rPr>
  </w:style>
  <w:style w:type="paragraph" w:customStyle="1" w:styleId="paragraph">
    <w:name w:val="paragraph"/>
    <w:basedOn w:val="Standaard"/>
    <w:rsid w:val="007B43F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7B43F4"/>
  </w:style>
  <w:style w:type="character" w:customStyle="1" w:styleId="eop">
    <w:name w:val="eop"/>
    <w:basedOn w:val="Standaardalinea-lettertype"/>
    <w:rsid w:val="007B43F4"/>
  </w:style>
  <w:style w:type="character" w:customStyle="1" w:styleId="wacimagecontainer">
    <w:name w:val="wacimagecontainer"/>
    <w:basedOn w:val="Standaardalinea-lettertype"/>
    <w:rsid w:val="007B43F4"/>
  </w:style>
  <w:style w:type="paragraph" w:styleId="Revisie">
    <w:name w:val="Revision"/>
    <w:hidden/>
    <w:uiPriority w:val="99"/>
    <w:semiHidden/>
    <w:rsid w:val="008A3F66"/>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6322</Words>
  <Characters>34776</Characters>
  <Application>Microsoft Office Word</Application>
  <DocSecurity>0</DocSecurity>
  <Lines>289</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Maljaars - Bravenboer</dc:creator>
  <cp:keywords/>
  <dc:description/>
  <cp:lastModifiedBy>Marit Maljaars - Bravenboer</cp:lastModifiedBy>
  <cp:revision>2</cp:revision>
  <dcterms:created xsi:type="dcterms:W3CDTF">2026-05-26T08:57:00Z</dcterms:created>
  <dcterms:modified xsi:type="dcterms:W3CDTF">2026-05-26T08:57:00Z</dcterms:modified>
</cp:coreProperties>
</file>